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方正小标宋简体" w:hAnsi="方正小标宋简体" w:eastAsia="方正小标宋简体" w:cs="方正小标宋简体"/>
          <w:b w:val="0"/>
          <w:bCs w:val="0"/>
          <w:color w:val="auto"/>
          <w:spacing w:val="0"/>
          <w:w w:val="100"/>
          <w:sz w:val="44"/>
          <w:szCs w:val="44"/>
          <w:lang w:val="en-US" w:eastAsia="zh-CN"/>
        </w:rPr>
      </w:pPr>
      <w:r>
        <w:rPr>
          <w:rFonts w:hint="eastAsia" w:ascii="方正小标宋简体" w:hAnsi="方正小标宋简体" w:eastAsia="方正小标宋简体" w:cs="方正小标宋简体"/>
          <w:b w:val="0"/>
          <w:bCs w:val="0"/>
          <w:color w:val="auto"/>
          <w:spacing w:val="0"/>
          <w:w w:val="100"/>
          <w:sz w:val="44"/>
          <w:szCs w:val="44"/>
          <w:lang w:val="en-US" w:eastAsia="zh-CN"/>
        </w:rPr>
        <w:t>《温州市人民政府办公室关于加强城市</w:t>
      </w:r>
    </w:p>
    <w:p>
      <w:pPr>
        <w:keepNext w:val="0"/>
        <w:keepLines w:val="0"/>
        <w:pageBreakBefore w:val="0"/>
        <w:widowControl w:val="0"/>
        <w:kinsoku/>
        <w:wordWrap/>
        <w:overflowPunct/>
        <w:topLinePunct w:val="0"/>
        <w:autoSpaceDE/>
        <w:autoSpaceDN/>
        <w:bidi w:val="0"/>
        <w:adjustRightInd/>
        <w:snapToGrid/>
        <w:spacing w:line="700" w:lineRule="exact"/>
        <w:ind w:right="0"/>
        <w:jc w:val="center"/>
        <w:textAlignment w:val="auto"/>
        <w:outlineLvl w:val="9"/>
        <w:rPr>
          <w:rFonts w:hint="eastAsia" w:ascii="方正小标宋简体" w:hAnsi="方正小标宋简体" w:eastAsia="方正小标宋简体" w:cs="方正小标宋简体"/>
          <w:b w:val="0"/>
          <w:bCs w:val="0"/>
          <w:color w:val="auto"/>
          <w:spacing w:val="0"/>
          <w:w w:val="100"/>
          <w:sz w:val="44"/>
          <w:szCs w:val="44"/>
          <w:lang w:val="en-US" w:eastAsia="zh-CN"/>
        </w:rPr>
      </w:pPr>
      <w:r>
        <w:rPr>
          <w:rFonts w:hint="eastAsia" w:ascii="方正小标宋简体" w:hAnsi="方正小标宋简体" w:eastAsia="方正小标宋简体" w:cs="方正小标宋简体"/>
          <w:b w:val="0"/>
          <w:bCs w:val="0"/>
          <w:color w:val="auto"/>
          <w:spacing w:val="0"/>
          <w:w w:val="100"/>
          <w:sz w:val="44"/>
          <w:szCs w:val="44"/>
          <w:lang w:val="en-US" w:eastAsia="zh-CN"/>
        </w:rPr>
        <w:t>基础设施配套费征收管理的通知》</w:t>
      </w:r>
    </w:p>
    <w:p>
      <w:pPr>
        <w:keepNext w:val="0"/>
        <w:keepLines w:val="0"/>
        <w:pageBreakBefore w:val="0"/>
        <w:widowControl w:val="0"/>
        <w:kinsoku/>
        <w:wordWrap/>
        <w:overflowPunct/>
        <w:topLinePunct w:val="0"/>
        <w:autoSpaceDE/>
        <w:autoSpaceDN/>
        <w:bidi w:val="0"/>
        <w:adjustRightInd/>
        <w:snapToGrid/>
        <w:spacing w:line="700" w:lineRule="exact"/>
        <w:ind w:right="0"/>
        <w:jc w:val="center"/>
        <w:textAlignment w:val="auto"/>
        <w:outlineLvl w:val="9"/>
        <w:rPr>
          <w:rFonts w:hint="eastAsia" w:ascii="方正小标宋简体" w:hAnsi="方正小标宋简体" w:eastAsia="方正小标宋简体" w:cs="方正小标宋简体"/>
          <w:b w:val="0"/>
          <w:bCs w:val="0"/>
          <w:color w:val="auto"/>
          <w:spacing w:val="0"/>
          <w:w w:val="100"/>
          <w:sz w:val="44"/>
          <w:szCs w:val="44"/>
          <w:lang w:val="en" w:eastAsia="zh-CN"/>
        </w:rPr>
      </w:pPr>
      <w:r>
        <w:rPr>
          <w:rFonts w:hint="eastAsia" w:ascii="方正小标宋简体" w:hAnsi="方正小标宋简体" w:eastAsia="方正小标宋简体" w:cs="方正小标宋简体"/>
          <w:b w:val="0"/>
          <w:bCs w:val="0"/>
          <w:color w:val="auto"/>
          <w:spacing w:val="0"/>
          <w:w w:val="100"/>
          <w:sz w:val="44"/>
          <w:szCs w:val="44"/>
          <w:lang w:val="en-US" w:eastAsia="zh-CN"/>
        </w:rPr>
        <w:t>有关问题解答（一）</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 w:eastAsia="仿宋_GB2312" w:cs="仿宋"/>
          <w:color w:val="auto"/>
          <w:sz w:val="32"/>
          <w:szCs w:val="32"/>
          <w:lang w:val="en"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strike w:val="0"/>
          <w:dstrike w:val="0"/>
          <w:color w:val="auto"/>
          <w:sz w:val="32"/>
          <w:szCs w:val="32"/>
          <w:lang w:eastAsia="zh-CN"/>
        </w:rPr>
      </w:pPr>
      <w:r>
        <w:rPr>
          <w:rFonts w:hint="eastAsia" w:ascii="黑体" w:hAnsi="黑体" w:eastAsia="黑体" w:cs="黑体"/>
          <w:b w:val="0"/>
          <w:bCs w:val="0"/>
          <w:strike w:val="0"/>
          <w:dstrike w:val="0"/>
          <w:color w:val="auto"/>
          <w:sz w:val="32"/>
          <w:szCs w:val="32"/>
          <w:lang w:eastAsia="zh-CN"/>
        </w:rPr>
        <w:t>一、《通知》第二条规定市、区两级建设行政主管部门负责各辖区内城市基础设施配套费的征收工作，其中项目管辖层级如何确定？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strike w:val="0"/>
          <w:dstrike w:val="0"/>
          <w:color w:val="auto"/>
          <w:sz w:val="32"/>
          <w:szCs w:val="32"/>
          <w:u w:val="none"/>
          <w:lang w:eastAsia="zh-CN"/>
        </w:rPr>
      </w:pPr>
      <w:r>
        <w:rPr>
          <w:rFonts w:hint="eastAsia" w:ascii="仿宋_GB2312" w:hAnsi="仿宋" w:eastAsia="仿宋_GB2312" w:cs="仿宋"/>
          <w:strike w:val="0"/>
          <w:dstrike w:val="0"/>
          <w:color w:val="auto"/>
          <w:sz w:val="32"/>
          <w:szCs w:val="32"/>
          <w:u w:val="none"/>
          <w:lang w:eastAsia="zh-CN"/>
        </w:rPr>
        <w:t>区、功能区发改部门赋码的建设工程，由区、功能区建设主管部门负责辖区内城市基础设施配套费的征收工作和质量安全监管。市发改部门赋码的建设工程，原则上由市建设主管部门负责城市基础设施配套费的征收工作和质量安全监管。省发改部门赋码的建设工程，由市建设主管部门结合实际确定管辖层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lang w:eastAsia="zh-CN"/>
        </w:rPr>
      </w:pPr>
      <w:r>
        <w:rPr>
          <w:rFonts w:hint="eastAsia" w:ascii="黑体" w:hAnsi="黑体" w:eastAsia="黑体" w:cs="黑体"/>
          <w:b w:val="0"/>
          <w:bCs w:val="0"/>
          <w:strike w:val="0"/>
          <w:dstrike w:val="0"/>
          <w:color w:val="auto"/>
          <w:sz w:val="32"/>
          <w:szCs w:val="32"/>
          <w:lang w:eastAsia="zh-CN"/>
        </w:rPr>
        <w:t>二、《通知》第三条规定了城市基础设施配套费计算方式，其中住宅配套公建和地下室按什么收费标准收取？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strike w:val="0"/>
          <w:dstrike w:val="0"/>
          <w:color w:val="auto"/>
          <w:sz w:val="32"/>
          <w:szCs w:val="32"/>
          <w:lang w:val="en-US" w:eastAsia="zh-CN"/>
        </w:rPr>
      </w:pPr>
      <w:r>
        <w:rPr>
          <w:rFonts w:hint="eastAsia" w:ascii="Arial" w:hAnsi="Arial" w:eastAsia="仿宋_GB2312" w:cs="Arial"/>
          <w:color w:val="auto"/>
          <w:sz w:val="32"/>
          <w:szCs w:val="32"/>
          <w:lang w:eastAsia="zh-CN"/>
        </w:rPr>
        <w:t>经资规部门确认的经济技术指标中</w:t>
      </w:r>
      <w:r>
        <w:rPr>
          <w:rFonts w:hint="eastAsia" w:ascii="Arial" w:hAnsi="Arial" w:eastAsia="仿宋_GB2312" w:cs="Arial"/>
          <w:b w:val="0"/>
          <w:bCs w:val="0"/>
          <w:color w:val="auto"/>
          <w:sz w:val="32"/>
          <w:szCs w:val="32"/>
          <w:u w:val="none"/>
          <w:lang w:eastAsia="zh-CN"/>
        </w:rPr>
        <w:t>单列的住宅及其目录下的其他部分按住宅类收费标准收取，其</w:t>
      </w:r>
      <w:r>
        <w:rPr>
          <w:rFonts w:hint="eastAsia" w:ascii="Arial" w:hAnsi="Arial" w:eastAsia="仿宋_GB2312" w:cs="Arial"/>
          <w:color w:val="auto"/>
          <w:sz w:val="32"/>
          <w:szCs w:val="32"/>
          <w:lang w:eastAsia="zh-CN"/>
        </w:rPr>
        <w:t>余部分均按照非住宅类收费标准收取。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trike w:val="0"/>
          <w:dstrike w:val="0"/>
          <w:color w:val="auto"/>
          <w:sz w:val="32"/>
          <w:szCs w:val="32"/>
          <w:lang w:eastAsia="zh-CN"/>
        </w:rPr>
      </w:pPr>
      <w:r>
        <w:rPr>
          <w:rFonts w:hint="eastAsia" w:ascii="黑体" w:hAnsi="黑体" w:eastAsia="黑体" w:cs="黑体"/>
          <w:b w:val="0"/>
          <w:bCs w:val="0"/>
          <w:strike w:val="0"/>
          <w:dstrike w:val="0"/>
          <w:color w:val="auto"/>
          <w:sz w:val="32"/>
          <w:szCs w:val="32"/>
          <w:lang w:eastAsia="zh-CN"/>
        </w:rPr>
        <w:t>三、针对《通知》第四条规定的减免政策，如何判断工程项目是否符合相应条件？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lang w:eastAsia="zh-CN"/>
        </w:rPr>
      </w:pPr>
      <w:r>
        <w:rPr>
          <w:rFonts w:hint="eastAsia" w:ascii="Arial" w:hAnsi="Arial" w:eastAsia="仿宋_GB2312" w:cs="Arial"/>
          <w:color w:val="auto"/>
          <w:sz w:val="32"/>
          <w:szCs w:val="32"/>
          <w:u w:val="none"/>
          <w:lang w:eastAsia="zh-CN"/>
        </w:rPr>
        <w:t>符合第四条</w:t>
      </w:r>
      <w:r>
        <w:rPr>
          <w:rFonts w:hint="eastAsia" w:ascii="仿宋_GB2312" w:hAnsi="仿宋" w:eastAsia="仿宋_GB2312" w:cs="仿宋"/>
          <w:strike w:val="0"/>
          <w:dstrike w:val="0"/>
          <w:color w:val="auto"/>
          <w:sz w:val="32"/>
          <w:szCs w:val="32"/>
          <w:u w:val="none"/>
          <w:lang w:val="en-US" w:eastAsia="zh-CN"/>
        </w:rPr>
        <w:t>减免</w:t>
      </w:r>
      <w:r>
        <w:rPr>
          <w:rFonts w:hint="eastAsia" w:ascii="Arial" w:hAnsi="Arial" w:eastAsia="仿宋_GB2312" w:cs="Arial"/>
          <w:color w:val="auto"/>
          <w:sz w:val="32"/>
          <w:szCs w:val="32"/>
          <w:u w:val="none"/>
          <w:lang w:eastAsia="zh-CN"/>
        </w:rPr>
        <w:t>政策</w:t>
      </w:r>
      <w:r>
        <w:rPr>
          <w:rFonts w:hint="eastAsia" w:ascii="Arial" w:hAnsi="Arial" w:eastAsia="仿宋_GB2312" w:cs="Arial"/>
          <w:color w:val="auto"/>
          <w:sz w:val="32"/>
          <w:szCs w:val="32"/>
          <w:u w:val="none"/>
          <w:lang w:val="en-US" w:eastAsia="zh-CN"/>
        </w:rPr>
        <w:t>的项目，征收对象应在申请办理</w:t>
      </w:r>
      <w:r>
        <w:rPr>
          <w:rFonts w:hint="eastAsia" w:ascii="仿宋_GB2312" w:hAnsi="仿宋" w:eastAsia="仿宋_GB2312" w:cs="Times New Roman"/>
          <w:color w:val="auto"/>
          <w:sz w:val="32"/>
          <w:szCs w:val="32"/>
          <w:u w:val="none"/>
          <w:lang w:eastAsia="zh-CN"/>
        </w:rPr>
        <w:t>城市基础设施配套费缴纳手续时，</w:t>
      </w:r>
      <w:r>
        <w:rPr>
          <w:rFonts w:hint="eastAsia" w:ascii="仿宋_GB2312" w:hAnsi="仿宋" w:eastAsia="仿宋_GB2312" w:cs="仿宋"/>
          <w:strike w:val="0"/>
          <w:dstrike w:val="0"/>
          <w:color w:val="auto"/>
          <w:sz w:val="32"/>
          <w:szCs w:val="32"/>
          <w:u w:val="none"/>
          <w:lang w:val="en-US" w:eastAsia="zh-CN"/>
        </w:rPr>
        <w:t>一并提供可以证明项目性质的书面证明材料</w:t>
      </w:r>
      <w:r>
        <w:rPr>
          <w:rFonts w:hint="eastAsia" w:ascii="仿宋_GB2312" w:hAnsi="仿宋" w:eastAsia="仿宋_GB2312" w:cs="Times New Roman"/>
          <w:color w:val="auto"/>
          <w:sz w:val="32"/>
          <w:szCs w:val="32"/>
          <w:u w:val="none"/>
          <w:lang w:eastAsia="zh-CN"/>
        </w:rPr>
        <w:t>，征收部门</w:t>
      </w:r>
      <w:r>
        <w:rPr>
          <w:rFonts w:hint="eastAsia" w:ascii="仿宋_GB2312" w:hAnsi="仿宋" w:eastAsia="仿宋_GB2312" w:cs="Times New Roman"/>
          <w:color w:val="auto"/>
          <w:sz w:val="32"/>
          <w:szCs w:val="32"/>
          <w:lang w:eastAsia="zh-CN"/>
        </w:rPr>
        <w:t>审核无误后予以办理免征、减征手续。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color w:val="FF0000"/>
          <w:sz w:val="32"/>
          <w:szCs w:val="32"/>
          <w:lang w:val="en-US" w:eastAsia="zh-CN"/>
        </w:rPr>
      </w:pPr>
      <w:r>
        <w:rPr>
          <w:rFonts w:hint="eastAsia" w:ascii="仿宋_GB2312" w:hAnsi="仿宋" w:eastAsia="仿宋_GB2312" w:cs="Times New Roman"/>
          <w:color w:val="auto"/>
          <w:sz w:val="32"/>
          <w:szCs w:val="32"/>
          <w:lang w:eastAsia="zh-CN"/>
        </w:rPr>
        <w:t>第四条第（二）项第</w:t>
      </w:r>
      <w:r>
        <w:rPr>
          <w:rFonts w:hint="eastAsia" w:ascii="仿宋_GB2312" w:hAnsi="仿宋" w:eastAsia="仿宋_GB2312" w:cs="Times New Roman"/>
          <w:color w:val="auto"/>
          <w:sz w:val="32"/>
          <w:szCs w:val="32"/>
          <w:lang w:val="en-US" w:eastAsia="zh-CN"/>
        </w:rPr>
        <w:t>1点中建设</w:t>
      </w:r>
      <w:r>
        <w:rPr>
          <w:rFonts w:hint="eastAsia" w:ascii="仿宋_GB2312" w:hAnsi="仿宋" w:eastAsia="仿宋_GB2312" w:cs="Times New Roman"/>
          <w:color w:val="auto"/>
          <w:sz w:val="32"/>
          <w:szCs w:val="32"/>
          <w:lang w:eastAsia="zh-CN"/>
        </w:rPr>
        <w:t>项目的分类</w:t>
      </w:r>
      <w:r>
        <w:rPr>
          <w:rFonts w:hint="eastAsia" w:ascii="仿宋_GB2312" w:hAnsi="仿宋" w:cs="Times New Roman"/>
          <w:color w:val="auto"/>
          <w:sz w:val="32"/>
          <w:szCs w:val="32"/>
          <w:lang w:eastAsia="zh-CN"/>
        </w:rPr>
        <w:t>沿用</w:t>
      </w:r>
      <w:r>
        <w:rPr>
          <w:rFonts w:hint="eastAsia" w:ascii="仿宋_GB2312" w:hAnsi="仿宋" w:eastAsia="仿宋_GB2312" w:cs="Times New Roman"/>
          <w:color w:val="auto"/>
          <w:sz w:val="32"/>
          <w:szCs w:val="32"/>
          <w:lang w:val="en-US" w:eastAsia="zh-CN"/>
        </w:rPr>
        <w:t>《温州市人民政府办公室关于印发温州市区城市市政基础设施配套费减免缓有关事项规定的通知》（温政办〔2012〕144号）的附件说明：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color w:val="auto"/>
          <w:sz w:val="32"/>
          <w:szCs w:val="32"/>
          <w:lang w:val="en-US" w:eastAsia="zh-CN"/>
        </w:rPr>
        <w:t>1.教育项目包括：幼儿园、中小学、高中、中等职业技术学校、高等学校、党校（行政学院）、电大等（</w:t>
      </w:r>
      <w:bookmarkStart w:id="0" w:name="_GoBack"/>
      <w:bookmarkEnd w:id="0"/>
      <w:r>
        <w:rPr>
          <w:rFonts w:hint="eastAsia" w:ascii="仿宋_GB2312" w:hAnsi="仿宋" w:eastAsia="仿宋_GB2312" w:cs="Times New Roman"/>
          <w:color w:val="auto"/>
          <w:sz w:val="32"/>
          <w:szCs w:val="32"/>
          <w:lang w:val="en-US" w:eastAsia="zh-CN"/>
        </w:rPr>
        <w:t>不含各类专业培训机构及社会类学校）。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color w:val="auto"/>
          <w:sz w:val="32"/>
          <w:szCs w:val="32"/>
          <w:lang w:val="en-US" w:eastAsia="zh-CN"/>
        </w:rPr>
        <w:t>2.医疗项目包括：社区卫生服务中心（站）、乡镇（街道）卫生院、医院等（不含美容、整形等非常规涉医机构）。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color w:val="auto"/>
          <w:sz w:val="32"/>
          <w:szCs w:val="32"/>
          <w:lang w:val="en-US" w:eastAsia="zh-CN"/>
        </w:rPr>
        <w:t>3.社会福利项目包括：敬老院、</w:t>
      </w:r>
      <w:r>
        <w:rPr>
          <w:rFonts w:hint="eastAsia" w:ascii="仿宋_GB2312" w:hAnsi="仿宋" w:eastAsia="仿宋_GB2312" w:cs="Times New Roman"/>
          <w:color w:val="auto"/>
          <w:sz w:val="32"/>
          <w:szCs w:val="32"/>
          <w:lang w:val="en-US" w:eastAsia="zh-CN"/>
        </w:rPr>
        <w:fldChar w:fldCharType="begin"/>
      </w:r>
      <w:r>
        <w:rPr>
          <w:rFonts w:hint="eastAsia" w:ascii="仿宋_GB2312" w:hAnsi="仿宋" w:eastAsia="仿宋_GB2312" w:cs="Times New Roman"/>
          <w:color w:val="auto"/>
          <w:sz w:val="32"/>
          <w:szCs w:val="32"/>
          <w:lang w:val="en-US" w:eastAsia="zh-CN"/>
        </w:rPr>
        <w:instrText xml:space="preserve"> HYPERLINK "http://www.chinaacc.com/web/lc_sh_2" \t "/home/greatwall/文档\\x/_blank" </w:instrText>
      </w:r>
      <w:r>
        <w:rPr>
          <w:rFonts w:hint="eastAsia" w:ascii="仿宋_GB2312" w:hAnsi="仿宋" w:eastAsia="仿宋_GB2312" w:cs="Times New Roman"/>
          <w:color w:val="auto"/>
          <w:sz w:val="32"/>
          <w:szCs w:val="32"/>
          <w:lang w:val="en-US" w:eastAsia="zh-CN"/>
        </w:rPr>
        <w:fldChar w:fldCharType="separate"/>
      </w:r>
      <w:r>
        <w:rPr>
          <w:rFonts w:hint="eastAsia" w:ascii="仿宋_GB2312" w:hAnsi="仿宋" w:eastAsia="仿宋_GB2312" w:cs="Times New Roman"/>
          <w:color w:val="auto"/>
          <w:sz w:val="32"/>
          <w:szCs w:val="32"/>
          <w:lang w:val="en-US" w:eastAsia="zh-CN"/>
        </w:rPr>
        <w:t>养老</w:t>
      </w:r>
      <w:r>
        <w:rPr>
          <w:rFonts w:hint="eastAsia" w:ascii="仿宋_GB2312" w:hAnsi="仿宋" w:eastAsia="仿宋_GB2312" w:cs="Times New Roman"/>
          <w:color w:val="auto"/>
          <w:sz w:val="32"/>
          <w:szCs w:val="32"/>
          <w:lang w:val="en-US" w:eastAsia="zh-CN"/>
        </w:rPr>
        <w:fldChar w:fldCharType="end"/>
      </w:r>
      <w:r>
        <w:rPr>
          <w:rFonts w:hint="eastAsia" w:ascii="仿宋_GB2312" w:hAnsi="仿宋" w:eastAsia="仿宋_GB2312" w:cs="Times New Roman"/>
          <w:color w:val="auto"/>
          <w:sz w:val="32"/>
          <w:szCs w:val="32"/>
          <w:lang w:val="en-US" w:eastAsia="zh-CN"/>
        </w:rPr>
        <w:t>院、福利院、孤儿院、救助管理站、救灾物资仓库、社区服务中心等。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color w:val="auto"/>
          <w:sz w:val="32"/>
          <w:szCs w:val="32"/>
          <w:lang w:val="en-US" w:eastAsia="zh-CN"/>
        </w:rPr>
        <w:t>4.社会公益项目包括：体育中心（含体育场、馆）、图书馆、博物馆、纪念馆、美术馆、文化馆、科技馆、青少年活动中心、妇女儿童活动中心、档案馆等（不包括上述项目中附属的商业部分）。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color w:val="auto"/>
          <w:sz w:val="32"/>
          <w:szCs w:val="32"/>
          <w:lang w:val="en-US" w:eastAsia="zh-CN"/>
        </w:rPr>
        <w:t>5.道路交通项目包括：长途客运站（中心）、铁路站场、机场配套用房（含指挥管理用房、配套办公用房、航站楼等）、公交始发站（含调度）、公交站场及管理用房（含检修、调度）、出租车服务站（点）。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color w:val="auto"/>
          <w:sz w:val="32"/>
          <w:szCs w:val="32"/>
          <w:lang w:val="en-US" w:eastAsia="zh-CN"/>
        </w:rPr>
        <w:t>6.供气项目包括：加压站、分装站、储气站（不含钢瓶换瓶站）。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color w:val="auto"/>
          <w:sz w:val="32"/>
          <w:szCs w:val="32"/>
          <w:lang w:val="en-US" w:eastAsia="zh-CN"/>
        </w:rPr>
        <w:t>7.供电项目包括：变配电站、检修用房（不含营业、办公用房）。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color w:val="auto"/>
          <w:sz w:val="32"/>
          <w:szCs w:val="32"/>
          <w:lang w:val="en-US" w:eastAsia="zh-CN"/>
        </w:rPr>
        <w:t>8.园林绿化项目包括：公共绿地中各类配套管理用房、公共活动用房（不含经营性用房）。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color w:val="auto"/>
          <w:sz w:val="32"/>
          <w:szCs w:val="32"/>
          <w:lang w:val="en-US" w:eastAsia="zh-CN"/>
        </w:rPr>
        <w:t>9.环卫设施项目包括：垃圾站（厂）、公厕、环卫工人集体宿舍。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color w:val="auto"/>
          <w:sz w:val="32"/>
          <w:szCs w:val="32"/>
          <w:lang w:val="en-US" w:eastAsia="zh-CN"/>
        </w:rPr>
        <w:t>10.城市给排水项目包括：给水厂、污水处理厂、泵站。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lang w:val="en-US" w:eastAsia="zh-CN"/>
        </w:rPr>
      </w:pPr>
      <w:r>
        <w:rPr>
          <w:rFonts w:hint="eastAsia" w:ascii="Arial" w:hAnsi="Arial" w:eastAsia="仿宋_GB2312" w:cs="Arial"/>
          <w:color w:val="auto"/>
          <w:sz w:val="32"/>
          <w:szCs w:val="32"/>
          <w:lang w:eastAsia="zh-CN"/>
        </w:rPr>
        <w:t>第四条第（一）项第</w:t>
      </w:r>
      <w:r>
        <w:rPr>
          <w:rFonts w:hint="eastAsia" w:ascii="仿宋_GB2312" w:hAnsi="Times New Roman" w:eastAsia="仿宋_GB2312" w:cs="Times New Roman"/>
          <w:sz w:val="32"/>
          <w:szCs w:val="32"/>
          <w:lang w:val="en-US" w:eastAsia="zh-CN"/>
        </w:rPr>
        <w:t>4</w:t>
      </w:r>
      <w:r>
        <w:rPr>
          <w:rFonts w:hint="eastAsia" w:ascii="Arial" w:hAnsi="Arial" w:eastAsia="仿宋_GB2312" w:cs="Arial"/>
          <w:color w:val="auto"/>
          <w:sz w:val="32"/>
          <w:szCs w:val="32"/>
          <w:lang w:val="en-US" w:eastAsia="zh-CN"/>
        </w:rPr>
        <w:t>点</w:t>
      </w:r>
      <w:r>
        <w:rPr>
          <w:rFonts w:hint="eastAsia" w:ascii="仿宋_GB2312" w:hAnsi="仿宋" w:eastAsia="仿宋_GB2312" w:cs="仿宋"/>
          <w:color w:val="auto"/>
          <w:sz w:val="32"/>
          <w:szCs w:val="32"/>
          <w:lang w:eastAsia="zh-CN"/>
        </w:rPr>
        <w:t>农民个人依法利用农村集体土地新建、翻建的自用住房</w:t>
      </w:r>
      <w:r>
        <w:rPr>
          <w:rFonts w:hint="eastAsia" w:ascii="Arial" w:hAnsi="Arial" w:eastAsia="仿宋_GB2312" w:cs="Arial"/>
          <w:color w:val="auto"/>
          <w:sz w:val="32"/>
          <w:szCs w:val="32"/>
          <w:lang w:val="en-US" w:eastAsia="zh-CN"/>
        </w:rPr>
        <w:t>，直接予以免征，不再办理</w:t>
      </w:r>
      <w:r>
        <w:rPr>
          <w:rFonts w:hint="eastAsia" w:ascii="仿宋_GB2312" w:hAnsi="仿宋" w:eastAsia="仿宋_GB2312" w:cs="Times New Roman"/>
          <w:color w:val="auto"/>
          <w:sz w:val="32"/>
          <w:szCs w:val="32"/>
          <w:lang w:eastAsia="zh-CN"/>
        </w:rPr>
        <w:t>城市基础设施配套费缴纳手续。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auto"/>
          <w:sz w:val="32"/>
          <w:szCs w:val="32"/>
          <w:lang w:eastAsia="zh-CN"/>
        </w:rPr>
      </w:pPr>
      <w:r>
        <w:rPr>
          <w:rFonts w:hint="eastAsia" w:ascii="黑体" w:hAnsi="黑体" w:eastAsia="黑体" w:cs="黑体"/>
          <w:b w:val="0"/>
          <w:bCs w:val="0"/>
          <w:strike w:val="0"/>
          <w:dstrike w:val="0"/>
          <w:color w:val="auto"/>
          <w:sz w:val="32"/>
          <w:szCs w:val="32"/>
          <w:lang w:eastAsia="zh-CN"/>
        </w:rPr>
        <w:t>四、《通知》第四条规定中未提及</w:t>
      </w:r>
      <w:r>
        <w:rPr>
          <w:rFonts w:hint="eastAsia" w:ascii="黑体" w:hAnsi="黑体" w:eastAsia="黑体" w:cs="黑体"/>
          <w:b w:val="0"/>
          <w:bCs w:val="0"/>
          <w:strike w:val="0"/>
          <w:dstrike w:val="0"/>
          <w:color w:val="auto"/>
          <w:sz w:val="32"/>
          <w:szCs w:val="32"/>
          <w:lang w:val="en-US" w:eastAsia="zh-CN"/>
        </w:rPr>
        <w:t>温政办〔2012〕144号文件规定的减半征收和减半、缓缴审批程序，该政策是否继续有效</w:t>
      </w:r>
      <w:r>
        <w:rPr>
          <w:rFonts w:hint="eastAsia" w:ascii="黑体" w:hAnsi="黑体" w:eastAsia="黑体" w:cs="黑体"/>
          <w:b w:val="0"/>
          <w:bCs w:val="0"/>
          <w:strike w:val="0"/>
          <w:dstrike w:val="0"/>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color w:val="auto"/>
          <w:sz w:val="32"/>
          <w:szCs w:val="32"/>
          <w:u w:val="none"/>
          <w:lang w:val="en-US" w:eastAsia="zh-CN"/>
        </w:rPr>
      </w:pPr>
      <w:r>
        <w:rPr>
          <w:rFonts w:hint="eastAsia" w:ascii="仿宋_GB2312" w:hAnsi="仿宋" w:eastAsia="仿宋_GB2312" w:cs="Times New Roman"/>
          <w:color w:val="auto"/>
          <w:sz w:val="32"/>
          <w:szCs w:val="32"/>
          <w:lang w:val="en-US" w:eastAsia="zh-CN"/>
        </w:rPr>
        <w:t>《通知》施行之日起，《温州市人民政府办公室关于印发温州市区城市市政基础设施配套费减免缓有关事项规定</w:t>
      </w:r>
      <w:r>
        <w:rPr>
          <w:rFonts w:hint="eastAsia" w:ascii="仿宋_GB2312" w:hAnsi="仿宋" w:eastAsia="仿宋_GB2312" w:cs="Times New Roman"/>
          <w:color w:val="auto"/>
          <w:sz w:val="32"/>
          <w:szCs w:val="32"/>
          <w:u w:val="none"/>
          <w:lang w:val="en-US" w:eastAsia="zh-CN"/>
        </w:rPr>
        <w:t>的通知》（温政办〔2012〕144号）</w:t>
      </w:r>
      <w:r>
        <w:rPr>
          <w:rFonts w:hint="eastAsia" w:ascii="仿宋_GB2312" w:hAnsi="Times New Roman" w:eastAsia="仿宋_GB2312" w:cs="Times New Roman"/>
          <w:color w:val="auto"/>
          <w:sz w:val="32"/>
          <w:szCs w:val="32"/>
          <w:u w:val="none"/>
          <w:lang w:val="en-US" w:eastAsia="zh-CN"/>
        </w:rPr>
        <w:t>停止执行，除符合本《通知》规定的减免政策外，各地均不得减征、免征、缓征、停征</w:t>
      </w:r>
      <w:r>
        <w:rPr>
          <w:rFonts w:hint="eastAsia" w:ascii="仿宋_GB2312" w:hAnsi="仿宋" w:eastAsia="仿宋_GB2312" w:cs="Times New Roman"/>
          <w:color w:val="auto"/>
          <w:sz w:val="32"/>
          <w:szCs w:val="32"/>
          <w:u w:val="none"/>
          <w:lang w:val="en-US" w:eastAsia="zh-CN"/>
        </w:rPr>
        <w:t>城市基础设施配套费</w:t>
      </w:r>
      <w:r>
        <w:rPr>
          <w:rFonts w:hint="eastAsia" w:ascii="仿宋_GB2312" w:hAnsi="Times New Roman" w:eastAsia="仿宋_GB2312" w:cs="Times New Roman"/>
          <w:color w:val="auto"/>
          <w:sz w:val="32"/>
          <w:szCs w:val="32"/>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trike w:val="0"/>
          <w:dstrike w:val="0"/>
          <w:color w:val="auto"/>
          <w:sz w:val="32"/>
          <w:szCs w:val="32"/>
          <w:lang w:eastAsia="zh-CN"/>
        </w:rPr>
      </w:pPr>
      <w:r>
        <w:rPr>
          <w:rFonts w:hint="eastAsia" w:ascii="黑体" w:hAnsi="黑体" w:eastAsia="黑体" w:cs="黑体"/>
          <w:b w:val="0"/>
          <w:bCs w:val="0"/>
          <w:strike w:val="0"/>
          <w:dstrike w:val="0"/>
          <w:color w:val="auto"/>
          <w:sz w:val="32"/>
          <w:szCs w:val="32"/>
          <w:lang w:eastAsia="zh-CN"/>
        </w:rPr>
        <w:t>五、《通知》第四条规定中未提及近年来“城市基础设施配套费按</w:t>
      </w:r>
      <w:r>
        <w:rPr>
          <w:rFonts w:hint="eastAsia" w:ascii="黑体" w:hAnsi="黑体" w:eastAsia="黑体" w:cs="黑体"/>
          <w:b w:val="0"/>
          <w:bCs w:val="0"/>
          <w:strike w:val="0"/>
          <w:dstrike w:val="0"/>
          <w:color w:val="auto"/>
          <w:sz w:val="32"/>
          <w:szCs w:val="32"/>
          <w:lang w:val="en-US" w:eastAsia="zh-CN"/>
        </w:rPr>
        <w:t>现行收费标准的70%征收</w:t>
      </w:r>
      <w:r>
        <w:rPr>
          <w:rFonts w:hint="eastAsia" w:ascii="黑体" w:hAnsi="黑体" w:eastAsia="黑体" w:cs="黑体"/>
          <w:b w:val="0"/>
          <w:bCs w:val="0"/>
          <w:strike w:val="0"/>
          <w:dstrike w:val="0"/>
          <w:color w:val="auto"/>
          <w:sz w:val="32"/>
          <w:szCs w:val="32"/>
          <w:lang w:eastAsia="zh-CN"/>
        </w:rPr>
        <w:t>”的减征政策，该政策是否延续？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u w:val="none"/>
          <w:lang w:val="en-US" w:eastAsia="zh-CN"/>
        </w:rPr>
      </w:pPr>
      <w:r>
        <w:rPr>
          <w:rFonts w:hint="eastAsia" w:ascii="仿宋_GB2312" w:hAnsi="仿宋" w:eastAsia="仿宋_GB2312" w:cs="Times New Roman"/>
          <w:color w:val="auto"/>
          <w:sz w:val="32"/>
          <w:szCs w:val="32"/>
          <w:lang w:val="en-US" w:eastAsia="zh-CN"/>
        </w:rPr>
        <w:t>《浙江省人民政府办公厅关于进一步深化企业减负担降成本改革的若干意见》（浙政办发〔2021〕37号）中“城市基础设施配套费按现行收费标准的70%征收”的政策执行</w:t>
      </w:r>
      <w:r>
        <w:rPr>
          <w:rFonts w:hint="eastAsia" w:ascii="仿宋_GB2312" w:hAnsi="仿宋" w:eastAsia="仿宋_GB2312" w:cs="Times New Roman"/>
          <w:color w:val="auto"/>
          <w:sz w:val="32"/>
          <w:szCs w:val="32"/>
          <w:u w:val="none"/>
          <w:lang w:val="en-US" w:eastAsia="zh-CN"/>
        </w:rPr>
        <w:t>时间于2022年12月31日截止。</w:t>
      </w:r>
      <w:r>
        <w:rPr>
          <w:rFonts w:hint="eastAsia" w:ascii="仿宋_GB2312" w:hAnsi="Times New Roman" w:eastAsia="仿宋_GB2312" w:cs="Times New Roman"/>
          <w:color w:val="auto"/>
          <w:sz w:val="32"/>
          <w:szCs w:val="32"/>
          <w:u w:val="none"/>
          <w:lang w:val="en-US" w:eastAsia="zh-CN"/>
        </w:rPr>
        <w:t>今后上级文件另有规定的，按上级文件规定执行。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trike w:val="0"/>
          <w:dstrike w:val="0"/>
          <w:color w:val="auto"/>
          <w:sz w:val="32"/>
          <w:szCs w:val="32"/>
          <w:lang w:eastAsia="zh-CN"/>
        </w:rPr>
      </w:pPr>
      <w:r>
        <w:rPr>
          <w:rFonts w:hint="eastAsia" w:ascii="黑体" w:hAnsi="黑体" w:eastAsia="黑体" w:cs="黑体"/>
          <w:b w:val="0"/>
          <w:bCs w:val="0"/>
          <w:strike w:val="0"/>
          <w:dstrike w:val="0"/>
          <w:color w:val="auto"/>
          <w:sz w:val="32"/>
          <w:szCs w:val="32"/>
          <w:lang w:eastAsia="zh-CN"/>
        </w:rPr>
        <w:t>六、《通知》第四条规定中未提及规划功能为工业用地内的建设项目的免征政策，目前工业项目是否享受相关减免政策？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Arial" w:hAnsi="Arial" w:eastAsia="仿宋_GB2312" w:cs="Arial"/>
          <w:color w:val="auto"/>
          <w:sz w:val="32"/>
          <w:szCs w:val="32"/>
          <w:u w:val="none"/>
          <w:lang w:eastAsia="zh-CN"/>
        </w:rPr>
      </w:pPr>
      <w:r>
        <w:rPr>
          <w:rFonts w:hint="eastAsia" w:ascii="仿宋_GB2312" w:hAnsi="仿宋" w:eastAsia="仿宋_GB2312" w:cs="Times New Roman"/>
          <w:color w:val="auto"/>
          <w:sz w:val="32"/>
          <w:szCs w:val="32"/>
          <w:lang w:val="en-US" w:eastAsia="zh-CN"/>
        </w:rPr>
        <w:t>《通知》施行之日起，《温州市人民政府办公室关于进一步减轻企业负担促进企业健康发展的实施意见》（温政办〔2018〕113号）中“对规划功能为工业用地内的建设项目免收城市基础设施建设配套费”的</w:t>
      </w:r>
      <w:r>
        <w:rPr>
          <w:rFonts w:hint="eastAsia" w:ascii="Arial" w:hAnsi="Arial" w:eastAsia="仿宋_GB2312" w:cs="Arial"/>
          <w:color w:val="auto"/>
          <w:sz w:val="32"/>
          <w:szCs w:val="32"/>
          <w:lang w:eastAsia="zh-CN"/>
        </w:rPr>
        <w:t>政策停止执行，其他与</w:t>
      </w:r>
      <w:r>
        <w:rPr>
          <w:rFonts w:hint="eastAsia" w:ascii="仿宋_GB2312" w:hAnsi="仿宋" w:eastAsia="仿宋_GB2312" w:cs="Times New Roman"/>
          <w:color w:val="auto"/>
          <w:sz w:val="32"/>
          <w:szCs w:val="32"/>
        </w:rPr>
        <w:t>法律法规</w:t>
      </w:r>
      <w:r>
        <w:rPr>
          <w:rFonts w:hint="eastAsia" w:ascii="仿宋_GB2312" w:hAnsi="仿宋" w:eastAsia="仿宋_GB2312" w:cs="Times New Roman"/>
          <w:color w:val="auto"/>
          <w:sz w:val="32"/>
          <w:szCs w:val="32"/>
          <w:lang w:eastAsia="zh-CN"/>
        </w:rPr>
        <w:t>和</w:t>
      </w:r>
      <w:r>
        <w:rPr>
          <w:rFonts w:hint="eastAsia" w:ascii="仿宋_GB2312" w:hAnsi="仿宋" w:eastAsia="仿宋_GB2312" w:cs="Times New Roman"/>
          <w:color w:val="auto"/>
          <w:sz w:val="32"/>
          <w:szCs w:val="32"/>
        </w:rPr>
        <w:t>国家</w:t>
      </w:r>
      <w:r>
        <w:rPr>
          <w:rFonts w:hint="eastAsia" w:ascii="仿宋_GB2312" w:hAnsi="仿宋" w:eastAsia="仿宋_GB2312" w:cs="Times New Roman"/>
          <w:color w:val="auto"/>
          <w:sz w:val="32"/>
          <w:szCs w:val="32"/>
          <w:lang w:eastAsia="zh-CN"/>
        </w:rPr>
        <w:t>、</w:t>
      </w:r>
      <w:r>
        <w:rPr>
          <w:rFonts w:hint="eastAsia" w:ascii="仿宋_GB2312" w:hAnsi="仿宋" w:eastAsia="仿宋_GB2312" w:cs="Times New Roman"/>
          <w:color w:val="auto"/>
          <w:sz w:val="32"/>
          <w:szCs w:val="32"/>
        </w:rPr>
        <w:t>省级行政规范性文件规定</w:t>
      </w:r>
      <w:r>
        <w:rPr>
          <w:rFonts w:hint="eastAsia" w:ascii="仿宋_GB2312" w:hAnsi="仿宋" w:eastAsia="仿宋_GB2312" w:cs="Times New Roman"/>
          <w:color w:val="auto"/>
          <w:sz w:val="32"/>
          <w:szCs w:val="32"/>
          <w:lang w:eastAsia="zh-CN"/>
        </w:rPr>
        <w:t>不一致的工业项目减免政策也不再执行。</w:t>
      </w:r>
      <w:r>
        <w:rPr>
          <w:rFonts w:hint="eastAsia" w:ascii="仿宋_GB2312" w:hAnsi="Times New Roman" w:eastAsia="仿宋_GB2312" w:cs="Times New Roman"/>
          <w:color w:val="auto"/>
          <w:sz w:val="32"/>
          <w:szCs w:val="32"/>
          <w:u w:val="none"/>
          <w:lang w:val="en-US" w:eastAsia="zh-CN"/>
        </w:rPr>
        <w:t>今后上级文件另有规定的，按上级文件规定执行。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trike w:val="0"/>
          <w:dstrike w:val="0"/>
          <w:color w:val="auto"/>
          <w:sz w:val="32"/>
          <w:szCs w:val="32"/>
          <w:lang w:eastAsia="zh-CN"/>
        </w:rPr>
      </w:pPr>
      <w:r>
        <w:rPr>
          <w:rFonts w:hint="eastAsia" w:ascii="黑体" w:hAnsi="黑体" w:eastAsia="黑体" w:cs="黑体"/>
          <w:b w:val="0"/>
          <w:bCs w:val="0"/>
          <w:strike w:val="0"/>
          <w:dstrike w:val="0"/>
          <w:color w:val="auto"/>
          <w:sz w:val="32"/>
          <w:szCs w:val="32"/>
          <w:lang w:eastAsia="zh-CN"/>
        </w:rPr>
        <w:t>七、《通知》第六条规定本《通</w:t>
      </w:r>
      <w:r>
        <w:rPr>
          <w:rFonts w:hint="eastAsia" w:ascii="黑体" w:hAnsi="黑体" w:eastAsia="黑体" w:cs="黑体"/>
          <w:b w:val="0"/>
          <w:bCs w:val="0"/>
          <w:strike w:val="0"/>
          <w:dstrike w:val="0"/>
          <w:color w:val="auto"/>
          <w:sz w:val="32"/>
          <w:szCs w:val="32"/>
          <w:lang w:val="en-US" w:eastAsia="zh-CN"/>
        </w:rPr>
        <w:t>知》自2023年3月15日施行，请问具体以哪项审批手续办理时间为准</w:t>
      </w:r>
      <w:r>
        <w:rPr>
          <w:rFonts w:hint="eastAsia" w:ascii="黑体" w:hAnsi="黑体" w:eastAsia="黑体" w:cs="黑体"/>
          <w:b w:val="0"/>
          <w:bCs w:val="0"/>
          <w:strike w:val="0"/>
          <w:dstrike w:val="0"/>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u w:val="none"/>
          <w:lang w:val="en-US" w:eastAsia="zh-CN"/>
        </w:rPr>
      </w:pPr>
      <w:r>
        <w:rPr>
          <w:rFonts w:hint="eastAsia" w:ascii="仿宋_GB2312" w:hAnsi="仿宋" w:eastAsia="仿宋_GB2312" w:cs="Times New Roman"/>
          <w:color w:val="auto"/>
          <w:sz w:val="32"/>
          <w:szCs w:val="32"/>
          <w:u w:val="none"/>
          <w:lang w:val="en-US" w:eastAsia="zh-CN"/>
        </w:rPr>
        <w:t>自2023年3月15日起办结《建设工程规划许可证》的各类工程项目均按本《通知》执行；2023年3月15日前办结工规证的建设项目按原规定处理。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trike w:val="0"/>
          <w:dstrike w:val="0"/>
          <w:color w:val="auto"/>
          <w:sz w:val="32"/>
          <w:szCs w:val="32"/>
          <w:lang w:val="en-US" w:eastAsia="zh-CN"/>
        </w:rPr>
      </w:pPr>
      <w:r>
        <w:rPr>
          <w:rFonts w:hint="eastAsia" w:ascii="黑体" w:hAnsi="黑体" w:eastAsia="黑体" w:cs="黑体"/>
          <w:b w:val="0"/>
          <w:bCs w:val="0"/>
          <w:strike w:val="0"/>
          <w:dstrike w:val="0"/>
          <w:color w:val="auto"/>
          <w:sz w:val="32"/>
          <w:szCs w:val="32"/>
          <w:lang w:val="en-US" w:eastAsia="zh-CN"/>
        </w:rPr>
        <w:t>八、土地出让合同中明确约定代建后无偿移交给政府的配套设施是否享受免征政策？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b w:val="0"/>
          <w:bCs w:val="0"/>
          <w:strike w:val="0"/>
          <w:dstrike w:val="0"/>
          <w:color w:val="auto"/>
          <w:sz w:val="32"/>
          <w:szCs w:val="32"/>
          <w:u w:val="none"/>
          <w:lang w:val="en-US" w:eastAsia="zh-CN"/>
        </w:rPr>
        <w:t>除土地出让合同中明确免收</w:t>
      </w:r>
      <w:r>
        <w:rPr>
          <w:rFonts w:hint="eastAsia" w:ascii="仿宋_GB2312" w:hAnsi="仿宋_GB2312" w:eastAsia="仿宋_GB2312" w:cs="仿宋_GB2312"/>
          <w:color w:val="auto"/>
          <w:sz w:val="32"/>
          <w:szCs w:val="32"/>
          <w:u w:val="none"/>
          <w:lang w:val="en-US" w:eastAsia="zh-CN"/>
        </w:rPr>
        <w:t>市政基础设施配套费外，均按规定收取。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b w:val="0"/>
          <w:bCs w:val="0"/>
          <w:strike w:val="0"/>
          <w:dstrike w:val="0"/>
          <w:color w:val="auto"/>
          <w:sz w:val="32"/>
          <w:szCs w:val="32"/>
          <w:lang w:val="en-US" w:eastAsia="zh-CN"/>
        </w:rPr>
      </w:pPr>
      <w:r>
        <w:rPr>
          <w:rFonts w:hint="eastAsia" w:ascii="黑体" w:hAnsi="黑体" w:eastAsia="黑体" w:cs="黑体"/>
          <w:b w:val="0"/>
          <w:bCs w:val="0"/>
          <w:strike w:val="0"/>
          <w:dstrike w:val="0"/>
          <w:color w:val="auto"/>
          <w:sz w:val="32"/>
          <w:szCs w:val="32"/>
          <w:lang w:val="en-US" w:eastAsia="zh-CN"/>
        </w:rPr>
        <w:t>九、土地出让合同中明确出让价款中已包含城市基础设施配套费的建设项目是否不再收取？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lang w:eastAsia="zh-CN"/>
        </w:rPr>
      </w:pPr>
      <w:r>
        <w:rPr>
          <w:rFonts w:hint="eastAsia" w:ascii="仿宋_GB2312" w:hAnsi="仿宋" w:eastAsia="仿宋_GB2312" w:cs="Times New Roman"/>
          <w:color w:val="auto"/>
          <w:sz w:val="32"/>
          <w:szCs w:val="32"/>
          <w:lang w:eastAsia="zh-CN"/>
        </w:rPr>
        <w:t>不再另行收取。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trike w:val="0"/>
          <w:dstrike w:val="0"/>
          <w:color w:val="auto"/>
          <w:sz w:val="32"/>
          <w:szCs w:val="32"/>
          <w:lang w:val="en-US" w:eastAsia="zh-CN"/>
        </w:rPr>
      </w:pPr>
      <w:r>
        <w:rPr>
          <w:rFonts w:hint="eastAsia" w:ascii="黑体" w:hAnsi="黑体" w:eastAsia="黑体" w:cs="黑体"/>
          <w:b w:val="0"/>
          <w:bCs w:val="0"/>
          <w:strike w:val="0"/>
          <w:dstrike w:val="0"/>
          <w:color w:val="auto"/>
          <w:sz w:val="32"/>
          <w:szCs w:val="32"/>
          <w:lang w:val="en-US" w:eastAsia="zh-CN"/>
        </w:rPr>
        <w:t>十、建设工程竣工规划核实时发现实测建筑面积与工程规划许可面积不一致，是否需要补缴或退还城市基础设施配套费？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color w:val="auto"/>
          <w:sz w:val="32"/>
          <w:szCs w:val="32"/>
          <w:lang w:val="en-US" w:eastAsia="zh-CN"/>
        </w:rPr>
        <w:t>城市基础设施配套费实行一次性征收。实测建筑面积在合理误差范围内的多收不退、少收不补；超出合理误差范围的，由自然资源和规划部门出具联系单，明确实测建筑面积与工程规划许可面积的差额，按原征收标准予以补缴或退还城市基础设施配套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trike w:val="0"/>
          <w:dstrike w:val="0"/>
          <w:color w:val="auto"/>
          <w:sz w:val="32"/>
          <w:szCs w:val="32"/>
          <w:u w:val="none"/>
          <w:lang w:eastAsia="zh-CN"/>
        </w:rPr>
      </w:pPr>
      <w:r>
        <w:rPr>
          <w:rFonts w:hint="eastAsia" w:ascii="黑体" w:hAnsi="黑体" w:eastAsia="黑体" w:cs="黑体"/>
          <w:b w:val="0"/>
          <w:bCs w:val="0"/>
          <w:strike w:val="0"/>
          <w:dstrike w:val="0"/>
          <w:color w:val="auto"/>
          <w:sz w:val="32"/>
          <w:szCs w:val="32"/>
          <w:u w:val="none"/>
          <w:lang w:val="en-US" w:eastAsia="zh-CN"/>
        </w:rPr>
        <w:t>十一、民办中小学（含幼儿园）校舍建设项目是否适用</w:t>
      </w:r>
      <w:r>
        <w:rPr>
          <w:rFonts w:hint="eastAsia" w:ascii="黑体" w:hAnsi="黑体" w:eastAsia="黑体" w:cs="黑体"/>
          <w:b w:val="0"/>
          <w:bCs w:val="0"/>
          <w:strike w:val="0"/>
          <w:dstrike w:val="0"/>
          <w:color w:val="auto"/>
          <w:sz w:val="32"/>
          <w:szCs w:val="32"/>
          <w:u w:val="none"/>
          <w:lang w:eastAsia="zh-CN"/>
        </w:rPr>
        <w:t>《通知》第四条第（一）项第</w:t>
      </w:r>
      <w:r>
        <w:rPr>
          <w:rFonts w:hint="eastAsia" w:ascii="黑体" w:hAnsi="黑体" w:eastAsia="黑体" w:cs="黑体"/>
          <w:b w:val="0"/>
          <w:bCs w:val="0"/>
          <w:strike w:val="0"/>
          <w:dstrike w:val="0"/>
          <w:color w:val="auto"/>
          <w:sz w:val="32"/>
          <w:szCs w:val="32"/>
          <w:u w:val="none"/>
          <w:lang w:val="en-US" w:eastAsia="zh-CN"/>
        </w:rPr>
        <w:t>1点</w:t>
      </w:r>
      <w:r>
        <w:rPr>
          <w:rFonts w:hint="eastAsia" w:ascii="黑体" w:hAnsi="黑体" w:eastAsia="黑体" w:cs="黑体"/>
          <w:b w:val="0"/>
          <w:bCs w:val="0"/>
          <w:strike w:val="0"/>
          <w:dstrike w:val="0"/>
          <w:color w:val="auto"/>
          <w:sz w:val="32"/>
          <w:szCs w:val="32"/>
          <w:u w:val="none"/>
          <w:lang w:eastAsia="zh-CN"/>
        </w:rPr>
        <w:t>规定的免征政策？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u w:val="none"/>
          <w:lang w:val="en-US" w:eastAsia="zh-CN"/>
        </w:rPr>
      </w:pPr>
      <w:r>
        <w:rPr>
          <w:rFonts w:hint="eastAsia" w:ascii="仿宋_GB2312" w:hAnsi="仿宋" w:eastAsia="仿宋_GB2312" w:cs="Times New Roman"/>
          <w:color w:val="auto"/>
          <w:sz w:val="32"/>
          <w:szCs w:val="32"/>
          <w:u w:val="none"/>
          <w:lang w:val="en-US" w:eastAsia="zh-CN"/>
        </w:rPr>
        <w:t>根据《国务院办公厅转发教育部等部门关于建立中小学校舍安全保障长效机制意见的通知》（国办发〔2013〕103号），民办中小学（含幼儿园）因校舍</w:t>
      </w:r>
      <w:r>
        <w:rPr>
          <w:rFonts w:hint="eastAsia" w:ascii="仿宋_GB2312" w:hAnsi="仿宋" w:eastAsia="仿宋_GB2312" w:cs="Times New Roman"/>
          <w:b/>
          <w:bCs/>
          <w:color w:val="auto"/>
          <w:sz w:val="32"/>
          <w:szCs w:val="32"/>
          <w:u w:val="none"/>
          <w:lang w:val="en-US" w:eastAsia="zh-CN"/>
        </w:rPr>
        <w:t>安全隐患</w:t>
      </w:r>
      <w:r>
        <w:rPr>
          <w:rFonts w:hint="eastAsia" w:ascii="仿宋_GB2312" w:hAnsi="仿宋" w:eastAsia="仿宋_GB2312" w:cs="Times New Roman"/>
          <w:color w:val="auto"/>
          <w:sz w:val="32"/>
          <w:szCs w:val="32"/>
          <w:u w:val="none"/>
          <w:lang w:val="en-US" w:eastAsia="zh-CN"/>
        </w:rPr>
        <w:t>进行重建、改扩建，适用该免征政策。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 w:eastAsia="仿宋_GB2312" w:cs="Times New Roman"/>
          <w:color w:val="auto"/>
          <w:sz w:val="32"/>
          <w:szCs w:val="32"/>
          <w:u w:val="none"/>
          <w:lang w:val="en-US" w:eastAsia="zh-CN"/>
        </w:rPr>
      </w:pPr>
    </w:p>
    <w:p>
      <w:pPr>
        <w:snapToGrid w:val="0"/>
        <w:spacing w:line="560" w:lineRule="exact"/>
        <w:rPr>
          <w:rFonts w:hint="eastAsia" w:ascii="仿宋_GB2312" w:hAnsi="Times New Roman" w:eastAsia="仿宋_GB2312" w:cs="Times New Roman"/>
          <w:sz w:val="32"/>
          <w:szCs w:val="32"/>
        </w:rPr>
      </w:pPr>
    </w:p>
    <w:p>
      <w:pPr>
        <w:snapToGrid w:val="0"/>
        <w:spacing w:line="560" w:lineRule="exact"/>
        <w:rPr>
          <w:rFonts w:hint="eastAsia" w:ascii="仿宋_GB2312" w:hAnsi="Times New Roman" w:eastAsia="仿宋_GB2312" w:cs="Times New Roman"/>
          <w:sz w:val="32"/>
          <w:szCs w:val="32"/>
        </w:rPr>
      </w:pPr>
    </w:p>
    <w:p>
      <w:pPr>
        <w:keepNext w:val="0"/>
        <w:keepLines w:val="0"/>
        <w:pageBreakBefore w:val="0"/>
        <w:widowControl w:val="0"/>
        <w:kinsoku/>
        <w:wordWrap/>
        <w:overflowPunct/>
        <w:topLinePunct w:val="0"/>
        <w:autoSpaceDE/>
        <w:bidi w:val="0"/>
        <w:adjustRightInd/>
        <w:snapToGrid w:val="0"/>
        <w:spacing w:line="560" w:lineRule="exact"/>
        <w:ind w:firstLine="624" w:firstLineChars="200"/>
        <w:textAlignment w:val="auto"/>
        <w:rPr>
          <w:rFonts w:hint="eastAsia" w:ascii="仿宋_GB2312" w:hAnsi="Times New Roman" w:eastAsia="仿宋_GB2312" w:cs="Times New Roman"/>
          <w:spacing w:val="-4"/>
          <w:sz w:val="32"/>
          <w:szCs w:val="32"/>
          <w:lang w:eastAsia="zh-CN"/>
        </w:rPr>
      </w:pPr>
      <w:r>
        <w:rPr>
          <w:rFonts w:hint="eastAsia" w:ascii="仿宋_GB2312" w:hAnsi="Times New Roman" w:eastAsia="仿宋_GB2312" w:cs="Times New Roman"/>
          <w:spacing w:val="-4"/>
          <w:sz w:val="32"/>
          <w:szCs w:val="32"/>
          <w:lang w:eastAsia="zh-CN"/>
        </w:rPr>
        <w:br w:type="page"/>
      </w:r>
    </w:p>
    <w:p>
      <w:pPr>
        <w:keepNext w:val="0"/>
        <w:keepLines w:val="0"/>
        <w:pageBreakBefore w:val="0"/>
        <w:widowControl w:val="0"/>
        <w:kinsoku/>
        <w:wordWrap/>
        <w:overflowPunct/>
        <w:topLinePunct w:val="0"/>
        <w:autoSpaceDE/>
        <w:bidi w:val="0"/>
        <w:adjustRightInd/>
        <w:snapToGrid w:val="0"/>
        <w:spacing w:line="560" w:lineRule="exact"/>
        <w:ind w:firstLine="624" w:firstLineChars="200"/>
        <w:textAlignment w:val="auto"/>
        <w:rPr>
          <w:rFonts w:hint="eastAsia" w:ascii="仿宋_GB2312" w:hAnsi="Times New Roman" w:eastAsia="仿宋_GB2312" w:cs="Times New Roman"/>
          <w:spacing w:val="-4"/>
          <w:sz w:val="32"/>
          <w:szCs w:val="32"/>
          <w:lang w:eastAsia="zh-CN"/>
        </w:rPr>
      </w:pPr>
    </w:p>
    <w:p>
      <w:pPr>
        <w:keepNext w:val="0"/>
        <w:keepLines w:val="0"/>
        <w:pageBreakBefore w:val="0"/>
        <w:widowControl w:val="0"/>
        <w:kinsoku/>
        <w:wordWrap/>
        <w:overflowPunct/>
        <w:topLinePunct w:val="0"/>
        <w:autoSpaceDE/>
        <w:bidi w:val="0"/>
        <w:adjustRightInd/>
        <w:snapToGrid w:val="0"/>
        <w:spacing w:line="560" w:lineRule="exact"/>
        <w:ind w:firstLine="640" w:firstLineChars="200"/>
        <w:textAlignment w:val="auto"/>
        <w:rPr>
          <w:rFonts w:hint="default" w:ascii="仿宋_GB2312" w:hAnsi="仿宋" w:eastAsia="仿宋_GB2312" w:cs="Arial"/>
          <w:color w:val="auto"/>
          <w:sz w:val="32"/>
          <w:szCs w:val="32"/>
          <w:lang w:val="en-US" w:eastAsia="zh-CN"/>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p>
    <w:tbl>
      <w:tblPr>
        <w:tblStyle w:val="5"/>
        <w:tblpPr w:leftFromText="180" w:rightFromText="180" w:vertAnchor="text" w:horzAnchor="page" w:tblpX="1550" w:tblpY="10048"/>
        <w:tblOverlap w:val="never"/>
        <w:tblW w:w="8946"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946"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cs="Times New Roman"/>
                <w:kern w:val="0"/>
                <w:sz w:val="28"/>
                <w:szCs w:val="28"/>
              </w:rPr>
            </w:pPr>
            <w:r>
              <w:rPr>
                <w:rFonts w:hint="eastAsia" w:ascii="仿宋_GB2312" w:hAnsi="仿宋_GB2312" w:cs="Times New Roman"/>
                <w:b w:val="0"/>
                <w:bCs w:val="0"/>
                <w:kern w:val="0"/>
                <w:sz w:val="28"/>
                <w:szCs w:val="28"/>
                <w:lang w:val="en-US" w:eastAsia="zh-CN"/>
              </w:rPr>
              <w:t>抄送：市财政局、市资规局</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946"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cs="Times New Roman"/>
                <w:kern w:val="0"/>
                <w:sz w:val="28"/>
                <w:szCs w:val="28"/>
              </w:rPr>
            </w:pPr>
            <w:r>
              <w:rPr>
                <w:rFonts w:hint="eastAsia" w:ascii="仿宋_GB2312" w:hAnsi="仿宋_GB2312" w:cs="Times New Roman"/>
                <w:kern w:val="0"/>
                <w:sz w:val="28"/>
                <w:szCs w:val="28"/>
              </w:rPr>
              <w:t>温州市住房和城乡建设局办公室</w:t>
            </w:r>
            <w:r>
              <w:rPr>
                <w:rFonts w:hint="eastAsia" w:ascii="仿宋_GB2312" w:hAnsi="仿宋_GB2312" w:cs="Times New Roman"/>
                <w:kern w:val="0"/>
                <w:sz w:val="28"/>
                <w:szCs w:val="28"/>
                <w:lang w:val="en-US" w:eastAsia="zh-CN"/>
              </w:rPr>
              <w:t xml:space="preserve">           </w:t>
            </w:r>
            <w:r>
              <w:rPr>
                <w:rFonts w:hint="eastAsia" w:ascii="仿宋_GB2312" w:hAnsi="仿宋_GB2312" w:cs="Times New Roman"/>
                <w:kern w:val="0"/>
                <w:sz w:val="28"/>
                <w:szCs w:val="28"/>
              </w:rPr>
              <w:t>202</w:t>
            </w:r>
            <w:r>
              <w:rPr>
                <w:rFonts w:hint="eastAsia" w:ascii="仿宋_GB2312" w:hAnsi="仿宋_GB2312" w:cs="Times New Roman"/>
                <w:kern w:val="0"/>
                <w:sz w:val="28"/>
                <w:szCs w:val="28"/>
                <w:lang w:val="en-US" w:eastAsia="zh-CN"/>
              </w:rPr>
              <w:t>3</w:t>
            </w:r>
            <w:r>
              <w:rPr>
                <w:rFonts w:hint="eastAsia" w:ascii="仿宋_GB2312" w:hAnsi="仿宋_GB2312" w:cs="Times New Roman"/>
                <w:kern w:val="0"/>
                <w:sz w:val="28"/>
                <w:szCs w:val="28"/>
              </w:rPr>
              <w:t>年</w:t>
            </w:r>
            <w:r>
              <w:rPr>
                <w:rFonts w:hint="eastAsia" w:ascii="仿宋_GB2312" w:hAnsi="仿宋_GB2312" w:cs="Times New Roman"/>
                <w:kern w:val="0"/>
                <w:sz w:val="28"/>
                <w:szCs w:val="28"/>
                <w:lang w:val="en-US" w:eastAsia="zh-CN"/>
              </w:rPr>
              <w:t>3</w:t>
            </w:r>
            <w:r>
              <w:rPr>
                <w:rFonts w:hint="eastAsia" w:ascii="仿宋_GB2312" w:hAnsi="仿宋_GB2312" w:cs="Times New Roman"/>
                <w:kern w:val="0"/>
                <w:sz w:val="28"/>
                <w:szCs w:val="28"/>
              </w:rPr>
              <w:t>月</w:t>
            </w:r>
            <w:r>
              <w:rPr>
                <w:rFonts w:hint="eastAsia" w:ascii="仿宋_GB2312" w:hAnsi="仿宋_GB2312" w:cs="Times New Roman"/>
                <w:kern w:val="0"/>
                <w:sz w:val="28"/>
                <w:szCs w:val="28"/>
                <w:lang w:val="en-US" w:eastAsia="zh-CN"/>
              </w:rPr>
              <w:t>11</w:t>
            </w:r>
            <w:r>
              <w:rPr>
                <w:rFonts w:hint="eastAsia" w:ascii="仿宋_GB2312" w:hAnsi="仿宋_GB2312" w:cs="Times New Roman"/>
                <w:kern w:val="0"/>
                <w:sz w:val="28"/>
                <w:szCs w:val="28"/>
              </w:rPr>
              <w:t xml:space="preserve">日印发  </w:t>
            </w:r>
          </w:p>
        </w:tc>
      </w:tr>
    </w:tbl>
    <w:p>
      <w:pPr>
        <w:keepNext w:val="0"/>
        <w:keepLines w:val="0"/>
        <w:pageBreakBefore w:val="0"/>
        <w:widowControl w:val="0"/>
        <w:kinsoku/>
        <w:wordWrap/>
        <w:overflowPunct/>
        <w:topLinePunct w:val="0"/>
        <w:autoSpaceDE/>
        <w:autoSpaceDN/>
        <w:bidi w:val="0"/>
        <w:adjustRightInd/>
        <w:snapToGrid/>
        <w:spacing w:line="600" w:lineRule="exact"/>
        <w:ind w:firstLine="280" w:firstLineChars="100"/>
        <w:jc w:val="both"/>
        <w:textAlignment w:val="auto"/>
        <w:rPr>
          <w:rFonts w:hint="eastAsia" w:ascii="仿宋_GB2312" w:hAnsi="仿宋_GB2312" w:cs="Times New Roman"/>
          <w:kern w:val="0"/>
          <w:sz w:val="28"/>
          <w:szCs w:val="28"/>
          <w:lang w:val="en-US" w:eastAsia="zh-CN"/>
        </w:rPr>
      </w:pPr>
    </w:p>
    <w:p/>
    <w:sectPr>
      <w:headerReference r:id="rId3" w:type="default"/>
      <w:footerReference r:id="rId4" w:type="default"/>
      <w:pgSz w:w="11905" w:h="16838"/>
      <w:pgMar w:top="2098" w:right="1587" w:bottom="1701" w:left="1587" w:header="851" w:footer="992" w:gutter="0"/>
      <w:pgNumType w:fmt="numberInDash"/>
      <w:cols w:space="720" w:num="1"/>
      <w:rtlGutter w:val="0"/>
      <w:docGrid w:type="lines" w:linePitch="45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rFonts w:ascii="Times New Roman" w:hAnsi="Times New Roman" w:cs="Times New Roman"/>
      </w:rPr>
    </w:pPr>
    <w:r>
      <w:rPr>
        <w:rFonts w:ascii="Times New Roman" w:hAnsi="Times New Roman" w:cs="Times New Roman"/>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-127000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10pt;height:144pt;width:144pt;mso-position-horizontal:outside;mso-position-horizontal-relative:margin;mso-wrap-style:none;z-index:251659264;mso-width-relative:page;mso-height-relative:page;" filled="f" stroked="f" coordsize="21600,21600" o:gfxdata="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A1Nrz1QAAAAgBAAAPAAAAAAAAAAEAIAAAACIAAABk&#10;cnMvZG93bnJldi54bWxQSwECFAAUAAAACACHTuJAYHJxPNABAACjAwAADgAAAAAAAAABACAAAAAk&#10;AQAAZHJzL2Uyb0RvYy54bWxQSwUGAAAAAAYABgBZAQAAZgUAAAAA&#10;">
              <v:fill on="f" focussize="0,0"/>
              <v:stroke on="f" weight="1.2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- 3 -</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1NDYzNTMyOTQ3NDg1M2Q4MzMwN2Q2Mjc4NjM3MTIifQ=="/>
  </w:docVars>
  <w:rsids>
    <w:rsidRoot w:val="02EF745B"/>
    <w:rsid w:val="02EF745B"/>
    <w:rsid w:val="1CC949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_Style 5"/>
    <w:qFormat/>
    <w:uiPriority w:val="0"/>
    <w:pPr>
      <w:widowControl w:val="0"/>
      <w:ind w:firstLine="200" w:firstLineChars="200"/>
      <w:jc w:val="both"/>
    </w:pPr>
    <w:rPr>
      <w:rFonts w:ascii="Times New Roman" w:hAnsi="Times New Roman" w:eastAsia="宋体" w:cs="Times New Roman"/>
      <w:kern w:val="2"/>
      <w:sz w:val="24"/>
      <w:szCs w:val="22"/>
      <w:lang w:val="en-US" w:eastAsia="zh-CN" w:bidi="ar-SA"/>
    </w:rPr>
  </w:style>
  <w:style w:type="paragraph" w:styleId="3">
    <w:name w:val="footer"/>
    <w:qFormat/>
    <w:uiPriority w:val="0"/>
    <w:pPr>
      <w:widowControl w:val="0"/>
      <w:tabs>
        <w:tab w:val="center" w:pos="4153"/>
        <w:tab w:val="right" w:pos="8306"/>
      </w:tabs>
      <w:snapToGrid w:val="0"/>
      <w:jc w:val="left"/>
    </w:pPr>
    <w:rPr>
      <w:rFonts w:ascii="Times New Roman" w:hAnsi="Times New Roman" w:eastAsia="仿宋_GB2312" w:cs="Times New Roman"/>
      <w:kern w:val="2"/>
      <w:sz w:val="18"/>
      <w:szCs w:val="18"/>
      <w:lang w:val="en-US" w:eastAsia="zh-CN" w:bidi="ar-SA"/>
    </w:rPr>
  </w:style>
  <w:style w:type="paragraph" w:styleId="4">
    <w:name w:val="header"/>
    <w:qFormat/>
    <w:uiPriority w:val="0"/>
    <w:pPr>
      <w:widowControl w:val="0"/>
      <w:pBdr>
        <w:bottom w:val="single" w:color="auto" w:sz="6" w:space="1"/>
      </w:pBdr>
      <w:tabs>
        <w:tab w:val="center" w:pos="4153"/>
        <w:tab w:val="right" w:pos="8306"/>
      </w:tabs>
      <w:snapToGrid w:val="0"/>
      <w:jc w:val="center"/>
    </w:pPr>
    <w:rPr>
      <w:rFonts w:ascii="Times New Roman" w:hAnsi="Times New Roman" w:eastAsia="仿宋_GB2312" w:cs="Times New Roman"/>
      <w:kern w:val="2"/>
      <w:sz w:val="18"/>
      <w:szCs w:val="18"/>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2177</Words>
  <Characters>2242</Characters>
  <Lines>0</Lines>
  <Paragraphs>0</Paragraphs>
  <TotalTime>0</TotalTime>
  <ScaleCrop>false</ScaleCrop>
  <LinksUpToDate>false</LinksUpToDate>
  <CharactersWithSpaces>2282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2023-03-17T01:42:00Z</dcterms:created>
  <dc:creator>Administrator</dc:creator>
  <cp:lastModifiedBy>X~</cp:lastModifiedBy>
  <dcterms:modified xsi:type="dcterms:W3CDTF">2023-03-22T03:39:46Z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4154C1BD29E74D349618F2F0E045E297</vt:lpwstr>
  </property>
</Properties>
</file>