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spacing w:before="240" w:after="160" w:line="440" w:lineRule="exact"/>
        <w:jc w:val="center"/>
        <w:rPr>
          <w:sz w:val="36"/>
        </w:rPr>
      </w:pPr>
      <w:r>
        <w:rPr>
          <w:sz w:val="36"/>
        </w:rPr>
        <w:t>总论</w:t>
      </w:r>
    </w:p>
    <w:p>
      <w:pPr>
        <w:pStyle w:val="3"/>
        <w:numPr>
          <w:ilvl w:val="1"/>
          <w:numId w:val="1"/>
        </w:numPr>
        <w:spacing w:before="160" w:after="80" w:line="440" w:lineRule="exact"/>
        <w:jc w:val="both"/>
        <w:rPr>
          <w:rFonts w:ascii="Times New Roman"/>
        </w:rPr>
      </w:pPr>
      <w:bookmarkStart w:id="0" w:name="_Toc63673329"/>
      <w:r>
        <w:rPr>
          <w:rFonts w:hint="eastAsia" w:ascii="Times New Roman"/>
        </w:rPr>
        <w:t>规划范围</w:t>
      </w:r>
      <w:bookmarkEnd w:id="0"/>
    </w:p>
    <w:p>
      <w:pPr>
        <w:spacing w:line="360" w:lineRule="auto"/>
        <w:ind w:firstLine="480" w:firstLineChars="200"/>
        <w:rPr>
          <w:sz w:val="24"/>
        </w:rPr>
      </w:pPr>
      <w:r>
        <w:rPr>
          <w:rFonts w:hint="eastAsia"/>
          <w:sz w:val="24"/>
        </w:rPr>
        <w:t>温州中心城区范围以及市辖区中心城区以外的区域（4个乡镇），规划范围以行政区划划分，分为市辖区全域（市辖区）、瑞安市在中心城区范围内的区域（瑞安片区）、乐清市在中心城区范围内的区域（乐清片区）和永嘉县在中心城区内的区域（永嘉片区）。</w:t>
      </w:r>
    </w:p>
    <w:p>
      <w:pPr>
        <w:spacing w:line="360" w:lineRule="auto"/>
        <w:ind w:firstLine="480" w:firstLineChars="200"/>
        <w:rPr>
          <w:sz w:val="24"/>
        </w:rPr>
      </w:pPr>
      <w:r>
        <w:rPr>
          <w:rFonts w:hint="eastAsia"/>
          <w:sz w:val="24"/>
        </w:rPr>
        <w:t>1)</w:t>
      </w:r>
      <w:r>
        <w:rPr>
          <w:rFonts w:hint="eastAsia"/>
          <w:sz w:val="24"/>
        </w:rPr>
        <w:tab/>
      </w:r>
      <w:r>
        <w:rPr>
          <w:rFonts w:hint="eastAsia"/>
          <w:sz w:val="24"/>
        </w:rPr>
        <w:t>市辖区：即鹿城区、龙湾区、瓯海区、洞头区全域范围。</w:t>
      </w:r>
    </w:p>
    <w:p>
      <w:pPr>
        <w:spacing w:line="360" w:lineRule="auto"/>
        <w:ind w:firstLine="480" w:firstLineChars="200"/>
        <w:rPr>
          <w:sz w:val="24"/>
        </w:rPr>
      </w:pPr>
      <w:r>
        <w:rPr>
          <w:rFonts w:hint="eastAsia"/>
          <w:sz w:val="24"/>
        </w:rPr>
        <w:t>2)</w:t>
      </w:r>
      <w:r>
        <w:rPr>
          <w:rFonts w:hint="eastAsia"/>
          <w:sz w:val="24"/>
        </w:rPr>
        <w:tab/>
      </w:r>
      <w:r>
        <w:rPr>
          <w:rFonts w:hint="eastAsia"/>
          <w:sz w:val="24"/>
        </w:rPr>
        <w:t>瑞安片区：即瑞安市全部12个街道（安阳、玉海、锦湖、潘岱、东山、上望、莘塍、汀田、飞云、云周、仙降、南滨街道）和1个镇（塘下镇）。</w:t>
      </w:r>
    </w:p>
    <w:p>
      <w:pPr>
        <w:spacing w:line="360" w:lineRule="auto"/>
        <w:ind w:firstLine="480" w:firstLineChars="200"/>
        <w:rPr>
          <w:sz w:val="24"/>
        </w:rPr>
      </w:pPr>
      <w:r>
        <w:rPr>
          <w:rFonts w:hint="eastAsia"/>
          <w:sz w:val="24"/>
        </w:rPr>
        <w:t>3)</w:t>
      </w:r>
      <w:r>
        <w:rPr>
          <w:rFonts w:hint="eastAsia"/>
          <w:sz w:val="24"/>
        </w:rPr>
        <w:tab/>
      </w:r>
      <w:r>
        <w:rPr>
          <w:rFonts w:hint="eastAsia"/>
          <w:sz w:val="24"/>
        </w:rPr>
        <w:t>乐清片区：即乐清市全部8个街道（乐成、城东、城南、盐盆、翁垟、白石、石帆、天成街道）和7个镇（淡溪、虹桥、南岳、蒲岐、磐石、柳市、北白象镇）。</w:t>
      </w:r>
    </w:p>
    <w:p>
      <w:pPr>
        <w:spacing w:line="360" w:lineRule="auto"/>
        <w:ind w:firstLine="480" w:firstLineChars="200"/>
        <w:rPr>
          <w:sz w:val="24"/>
        </w:rPr>
      </w:pPr>
      <w:r>
        <w:rPr>
          <w:rFonts w:hint="eastAsia"/>
          <w:sz w:val="24"/>
        </w:rPr>
        <w:t>4)</w:t>
      </w:r>
      <w:r>
        <w:rPr>
          <w:rFonts w:hint="eastAsia"/>
          <w:sz w:val="24"/>
        </w:rPr>
        <w:tab/>
      </w:r>
      <w:r>
        <w:rPr>
          <w:rFonts w:hint="eastAsia"/>
          <w:sz w:val="24"/>
        </w:rPr>
        <w:t>永嘉片区：即永嘉县全部7个街道（北城、东城、瓯北、南城、黄田、三江、乌牛街道）。</w:t>
      </w:r>
    </w:p>
    <w:p>
      <w:pPr>
        <w:pStyle w:val="3"/>
        <w:numPr>
          <w:ilvl w:val="1"/>
          <w:numId w:val="1"/>
        </w:numPr>
        <w:spacing w:before="160" w:after="80" w:line="440" w:lineRule="exact"/>
        <w:jc w:val="both"/>
        <w:rPr>
          <w:rFonts w:ascii="Times New Roman"/>
        </w:rPr>
      </w:pPr>
      <w:bookmarkStart w:id="1" w:name="_Toc63673330"/>
      <w:r>
        <w:rPr>
          <w:rFonts w:hint="eastAsia" w:ascii="Times New Roman"/>
        </w:rPr>
        <w:t>规划期限</w:t>
      </w:r>
      <w:bookmarkEnd w:id="1"/>
    </w:p>
    <w:p>
      <w:pPr>
        <w:spacing w:line="360" w:lineRule="auto"/>
        <w:ind w:firstLine="560" w:firstLineChars="200"/>
        <w:rPr>
          <w:rFonts w:ascii="Times New Roman" w:hAnsi="Times New Roman"/>
          <w:color w:val="000000"/>
          <w:sz w:val="28"/>
          <w:szCs w:val="20"/>
        </w:rPr>
      </w:pPr>
      <w:r>
        <w:rPr>
          <w:rFonts w:hint="eastAsia" w:ascii="Times New Roman" w:hAnsi="Times New Roman"/>
          <w:color w:val="000000"/>
          <w:sz w:val="28"/>
          <w:szCs w:val="20"/>
        </w:rPr>
        <w:t>近期2021~2025年，远期2026~2035年。</w:t>
      </w:r>
    </w:p>
    <w:p>
      <w:pPr>
        <w:spacing w:line="360" w:lineRule="auto"/>
        <w:ind w:firstLine="560" w:firstLineChars="200"/>
        <w:rPr>
          <w:rFonts w:ascii="Times New Roman" w:hAnsi="Times New Roman"/>
          <w:color w:val="000000"/>
          <w:sz w:val="28"/>
          <w:szCs w:val="20"/>
        </w:rPr>
      </w:pPr>
    </w:p>
    <w:p>
      <w:pPr>
        <w:widowControl/>
        <w:jc w:val="left"/>
        <w:sectPr>
          <w:footerReference r:id="rId3" w:type="default"/>
          <w:pgSz w:w="11907" w:h="16839"/>
          <w:pgMar w:top="1440" w:right="1800" w:bottom="1440" w:left="1800" w:header="851" w:footer="992" w:gutter="0"/>
          <w:cols w:space="720" w:num="1"/>
          <w:docGrid w:type="lines" w:linePitch="312" w:charSpace="0"/>
        </w:sectPr>
      </w:pPr>
    </w:p>
    <w:p>
      <w:pPr>
        <w:pStyle w:val="2"/>
        <w:numPr>
          <w:ilvl w:val="0"/>
          <w:numId w:val="1"/>
        </w:numPr>
        <w:spacing w:before="240" w:after="160" w:line="440" w:lineRule="exact"/>
        <w:jc w:val="center"/>
        <w:rPr>
          <w:sz w:val="36"/>
        </w:rPr>
      </w:pPr>
      <w:r>
        <w:rPr>
          <w:rFonts w:hint="eastAsia"/>
          <w:sz w:val="36"/>
        </w:rPr>
        <w:t>规划目标</w:t>
      </w:r>
    </w:p>
    <w:p>
      <w:pPr>
        <w:pStyle w:val="3"/>
        <w:numPr>
          <w:ilvl w:val="1"/>
          <w:numId w:val="1"/>
        </w:numPr>
        <w:spacing w:before="160" w:after="80" w:line="440" w:lineRule="exact"/>
        <w:jc w:val="both"/>
        <w:rPr>
          <w:rFonts w:ascii="Times New Roman"/>
        </w:rPr>
      </w:pPr>
      <w:r>
        <w:rPr>
          <w:rFonts w:hint="eastAsia" w:ascii="Times New Roman"/>
        </w:rPr>
        <w:t>天然气规划目标</w:t>
      </w:r>
    </w:p>
    <w:p>
      <w:pPr>
        <w:spacing w:line="360" w:lineRule="auto"/>
        <w:ind w:firstLine="480" w:firstLineChars="200"/>
        <w:rPr>
          <w:sz w:val="24"/>
        </w:rPr>
      </w:pPr>
      <w:r>
        <w:rPr>
          <w:rFonts w:hint="eastAsia"/>
          <w:sz w:val="24"/>
        </w:rPr>
        <w:t>1）近期目标</w:t>
      </w:r>
    </w:p>
    <w:p>
      <w:pPr>
        <w:spacing w:line="360" w:lineRule="auto"/>
        <w:ind w:firstLine="480" w:firstLineChars="200"/>
        <w:rPr>
          <w:sz w:val="24"/>
        </w:rPr>
      </w:pPr>
      <w:r>
        <w:rPr>
          <w:rFonts w:hint="eastAsia"/>
          <w:sz w:val="24"/>
        </w:rPr>
        <w:t>至2025年，规划区域逐步构建“多源接入”的气源保障体系；扩大天然气供气范围，形成管输天然气基本覆盖规划区域所有县、市的天然气利用格局；完成瑞安片区、永嘉片区瓯北区域的天然气置换；加强城乡区域统筹，促进供气服务均等化；推进燃气一体化改革，争取取得实质性突破；逐步完善智慧燃气系统。</w:t>
      </w:r>
    </w:p>
    <w:p>
      <w:pPr>
        <w:spacing w:line="360" w:lineRule="auto"/>
        <w:ind w:firstLine="480" w:firstLineChars="200"/>
        <w:rPr>
          <w:sz w:val="24"/>
        </w:rPr>
      </w:pPr>
      <w:r>
        <w:rPr>
          <w:rFonts w:hint="eastAsia"/>
          <w:sz w:val="24"/>
        </w:rPr>
        <w:t>2）远期目标</w:t>
      </w:r>
    </w:p>
    <w:p>
      <w:pPr>
        <w:spacing w:line="360" w:lineRule="auto"/>
        <w:ind w:firstLine="480" w:firstLineChars="200"/>
        <w:rPr>
          <w:sz w:val="24"/>
        </w:rPr>
      </w:pPr>
      <w:r>
        <w:rPr>
          <w:rFonts w:hint="eastAsia"/>
          <w:sz w:val="24"/>
        </w:rPr>
        <w:t>进一步提升天然气系统供应安全，提高设施利用效率，增强天然气服务能力，突出智能手段在天然气供应和消费中的运用。至2035年，规划区域形成“多源多点、管网互通、区域一体”的天然气输配系统供气格局。整体规划区域布局城乡一体化、互联互通的中压骨干供气管网；进一步强化信息技术在燃气监控、调度、应急处置领域的应用，完善物联网监控体系，全面建成智慧燃气输配体系；建成与温州大都市区发展相适应的更安全、更高效、更便捷的现代化燃气服务体系。</w:t>
      </w:r>
    </w:p>
    <w:p>
      <w:pPr>
        <w:pStyle w:val="3"/>
        <w:numPr>
          <w:ilvl w:val="1"/>
          <w:numId w:val="1"/>
        </w:numPr>
        <w:spacing w:before="160" w:after="80" w:line="440" w:lineRule="exact"/>
        <w:jc w:val="both"/>
        <w:rPr>
          <w:rFonts w:ascii="Times New Roman"/>
        </w:rPr>
      </w:pPr>
      <w:r>
        <w:rPr>
          <w:rFonts w:hint="eastAsia" w:ascii="Times New Roman"/>
        </w:rPr>
        <w:t>液化石油气规划目标</w:t>
      </w:r>
    </w:p>
    <w:p/>
    <w:p>
      <w:pPr>
        <w:spacing w:line="360" w:lineRule="auto"/>
        <w:ind w:firstLine="480" w:firstLineChars="200"/>
        <w:rPr>
          <w:sz w:val="24"/>
        </w:rPr>
      </w:pPr>
      <w:r>
        <w:rPr>
          <w:rFonts w:hint="eastAsia"/>
          <w:sz w:val="24"/>
          <w:highlight w:val="none"/>
        </w:rPr>
        <w:t>结合温州市加快构建市域供气一张网要求，</w:t>
      </w:r>
      <w:r>
        <w:rPr>
          <w:rFonts w:hint="eastAsia"/>
          <w:sz w:val="24"/>
        </w:rPr>
        <w:t>按照“统筹谋划、有序推进”的原则，规划一批布局合理地、建设规范的、智慧运营的储配站点，促进储配站点“集约化、规模化、安全化、现代化”发展。</w:t>
      </w:r>
    </w:p>
    <w:p>
      <w:pPr>
        <w:spacing w:line="360" w:lineRule="auto"/>
        <w:ind w:firstLine="480" w:firstLineChars="200"/>
        <w:rPr>
          <w:rFonts w:ascii="宋体" w:hAnsi="宋体"/>
          <w:szCs w:val="21"/>
        </w:rPr>
      </w:pPr>
      <w:r>
        <w:rPr>
          <w:rFonts w:hint="eastAsia"/>
          <w:sz w:val="24"/>
        </w:rPr>
        <w:t>对液化石油气供应站进行合理化布局、规范化建设、信息化管理，取缔或关闭非法占地、违法建设、存在严重安全隐患的液化石油气瓶装供应站，使规划区域液化石油气瓶装供应站做到布局合理、运营规范、建设有序。形成一批“布局合理、服务高效、安全保障、方便快捷”的瓶装供应站点。建立具备完善上门送气服务的液化石油气配送系统，实现标准化管理。</w:t>
      </w:r>
    </w:p>
    <w:p>
      <w:pPr>
        <w:jc w:val="left"/>
        <w:rPr>
          <w:rFonts w:ascii="宋体" w:hAnsi="宋体"/>
          <w:szCs w:val="21"/>
        </w:rPr>
      </w:pPr>
    </w:p>
    <w:p>
      <w:pPr>
        <w:jc w:val="left"/>
        <w:rPr>
          <w:rFonts w:ascii="宋体" w:hAnsi="宋体"/>
          <w:szCs w:val="21"/>
        </w:rPr>
        <w:sectPr>
          <w:pgSz w:w="11907" w:h="16839"/>
          <w:pgMar w:top="1440" w:right="1800" w:bottom="1440" w:left="1800" w:header="851" w:footer="992" w:gutter="0"/>
          <w:cols w:space="720" w:num="1"/>
          <w:docGrid w:type="lines" w:linePitch="312" w:charSpace="0"/>
        </w:sectPr>
      </w:pPr>
    </w:p>
    <w:p>
      <w:pPr>
        <w:pStyle w:val="2"/>
        <w:numPr>
          <w:ilvl w:val="0"/>
          <w:numId w:val="1"/>
        </w:numPr>
        <w:spacing w:before="240" w:after="160" w:line="440" w:lineRule="exact"/>
        <w:jc w:val="center"/>
      </w:pPr>
      <w:bookmarkStart w:id="2" w:name="_Toc67989065"/>
      <w:r>
        <w:rPr>
          <w:rFonts w:hint="eastAsia"/>
          <w:sz w:val="36"/>
        </w:rPr>
        <w:t>规划</w:t>
      </w:r>
      <w:bookmarkEnd w:id="2"/>
      <w:r>
        <w:rPr>
          <w:rFonts w:hint="eastAsia"/>
          <w:sz w:val="36"/>
        </w:rPr>
        <w:t>天然气气源</w:t>
      </w:r>
    </w:p>
    <w:p>
      <w:pPr>
        <w:pStyle w:val="3"/>
        <w:numPr>
          <w:ilvl w:val="1"/>
          <w:numId w:val="1"/>
        </w:numPr>
        <w:spacing w:before="160" w:after="80" w:line="440" w:lineRule="exact"/>
        <w:jc w:val="both"/>
        <w:rPr>
          <w:rFonts w:ascii="Times New Roman"/>
        </w:rPr>
      </w:pPr>
      <w:r>
        <w:rPr>
          <w:rFonts w:hint="eastAsia"/>
        </w:rPr>
        <w:t>管输天然气</w:t>
      </w:r>
    </w:p>
    <w:p>
      <w:pPr>
        <w:pStyle w:val="11"/>
        <w:spacing w:line="480" w:lineRule="atLeast"/>
        <w:ind w:firstLine="480"/>
      </w:pPr>
      <w:r>
        <w:rPr>
          <w:rFonts w:hint="eastAsia"/>
        </w:rPr>
        <w:t>规划区域从东南西北四个方向共引入10路主供气源、2路预留气源、2路补充气源，形成三向环绕向规划区域进行供应，为区域安全、可靠、稳定供气提供有力保障。</w:t>
      </w:r>
    </w:p>
    <w:p>
      <w:pPr>
        <w:pStyle w:val="3"/>
        <w:numPr>
          <w:ilvl w:val="1"/>
          <w:numId w:val="1"/>
        </w:numPr>
        <w:spacing w:before="160" w:after="80" w:line="440" w:lineRule="exact"/>
        <w:jc w:val="both"/>
        <w:rPr>
          <w:rFonts w:ascii="Times New Roman"/>
        </w:rPr>
      </w:pPr>
      <w:r>
        <w:rPr>
          <w:rFonts w:hint="eastAsia"/>
        </w:rPr>
        <w:t>非管输天然气</w:t>
      </w:r>
    </w:p>
    <w:p>
      <w:pPr>
        <w:pStyle w:val="11"/>
        <w:spacing w:line="480" w:lineRule="atLeast"/>
        <w:ind w:firstLine="480"/>
      </w:pPr>
      <w:r>
        <w:rPr>
          <w:rFonts w:hint="eastAsia"/>
        </w:rPr>
        <w:t>规划区域可利用的LNG气源主要为沿海LNG项目及国内液化工厂，LNG气源来源丰富，特别是温州LNG、温州华港LNG分别位于本规划区域内的洞头小门岛、洞头状元岛。LNG气源站型式多样，供应范围广，可根据市场规模灵活选择。在近期无法使用管输天然气的乡镇和农村地区，可采用液化天然气供应方式进行供气。</w:t>
      </w:r>
    </w:p>
    <w:p>
      <w:pPr>
        <w:pStyle w:val="11"/>
        <w:spacing w:line="480" w:lineRule="atLeast"/>
        <w:ind w:firstLine="480"/>
      </w:pPr>
    </w:p>
    <w:p>
      <w:pPr>
        <w:pStyle w:val="11"/>
        <w:spacing w:line="480" w:lineRule="atLeast"/>
        <w:ind w:firstLine="480"/>
        <w:rPr>
          <w:rFonts w:eastAsia="黑体"/>
          <w:bCs/>
        </w:rPr>
      </w:pPr>
    </w:p>
    <w:p>
      <w:pPr>
        <w:spacing w:line="480" w:lineRule="atLeast"/>
        <w:ind w:firstLine="480"/>
        <w:rPr>
          <w:sz w:val="24"/>
        </w:rPr>
        <w:sectPr>
          <w:pgSz w:w="11907" w:h="16839"/>
          <w:pgMar w:top="1440" w:right="1800" w:bottom="1440" w:left="1800" w:header="851" w:footer="992" w:gutter="0"/>
          <w:cols w:space="720" w:num="1"/>
          <w:docGrid w:type="lines" w:linePitch="312" w:charSpace="0"/>
        </w:sectPr>
      </w:pPr>
    </w:p>
    <w:p>
      <w:pPr>
        <w:pStyle w:val="2"/>
        <w:numPr>
          <w:ilvl w:val="0"/>
          <w:numId w:val="1"/>
        </w:numPr>
        <w:spacing w:before="240" w:after="160" w:line="440" w:lineRule="exact"/>
        <w:jc w:val="center"/>
        <w:rPr>
          <w:sz w:val="36"/>
        </w:rPr>
      </w:pPr>
      <w:r>
        <w:rPr>
          <w:rFonts w:hint="eastAsia"/>
          <w:sz w:val="36"/>
        </w:rPr>
        <w:t>天然气市场规模</w:t>
      </w:r>
    </w:p>
    <w:p>
      <w:pPr>
        <w:pStyle w:val="15"/>
        <w:spacing w:line="240" w:lineRule="auto"/>
        <w:ind w:left="425" w:right="-155" w:rightChars="-74" w:firstLine="0"/>
        <w:jc w:val="left"/>
        <w:rPr>
          <w:rFonts w:ascii="仿宋_GB2312" w:eastAsia="宋体"/>
          <w:b/>
        </w:rPr>
      </w:pPr>
    </w:p>
    <w:p>
      <w:pPr>
        <w:pStyle w:val="11"/>
        <w:spacing w:line="360" w:lineRule="auto"/>
        <w:ind w:firstLine="0" w:firstLineChars="0"/>
        <w:jc w:val="center"/>
      </w:pPr>
      <w:r>
        <w:rPr>
          <w:rFonts w:hint="eastAsia"/>
        </w:rPr>
        <w:t>表1 温州市辖区分用户用气量汇总（单位：万m</w:t>
      </w:r>
      <w:r>
        <w:rPr>
          <w:rFonts w:hint="eastAsia"/>
          <w:vertAlign w:val="superscript"/>
        </w:rPr>
        <w:t>3</w:t>
      </w:r>
      <w:r>
        <w:rPr>
          <w:rFonts w:hint="eastAsia"/>
        </w:rPr>
        <w:t>）</w:t>
      </w:r>
    </w:p>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50"/>
        <w:gridCol w:w="1195"/>
        <w:gridCol w:w="1195"/>
        <w:gridCol w:w="1195"/>
        <w:gridCol w:w="1195"/>
        <w:gridCol w:w="1195"/>
        <w:gridCol w:w="11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92" w:type="pct"/>
            <w:vMerge w:val="restar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年限</w:t>
            </w:r>
          </w:p>
        </w:tc>
        <w:tc>
          <w:tcPr>
            <w:tcW w:w="2103" w:type="pct"/>
            <w:gridSpan w:val="3"/>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2025年</w:t>
            </w:r>
          </w:p>
        </w:tc>
        <w:tc>
          <w:tcPr>
            <w:tcW w:w="2105" w:type="pct"/>
            <w:gridSpan w:val="3"/>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2035年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92" w:type="pct"/>
            <w:vMerge w:val="continue"/>
            <w:shd w:val="clear" w:color="auto" w:fill="E0E0E0"/>
            <w:vAlign w:val="center"/>
          </w:tcPr>
          <w:p>
            <w:pPr>
              <w:pStyle w:val="15"/>
              <w:spacing w:line="240" w:lineRule="auto"/>
              <w:ind w:firstLine="0"/>
              <w:jc w:val="center"/>
              <w:rPr>
                <w:rFonts w:ascii="宋体" w:hAnsi="宋体" w:eastAsia="宋体"/>
              </w:rPr>
            </w:pPr>
          </w:p>
        </w:tc>
        <w:tc>
          <w:tcPr>
            <w:tcW w:w="701"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年用气量</w:t>
            </w:r>
          </w:p>
        </w:tc>
        <w:tc>
          <w:tcPr>
            <w:tcW w:w="701"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平均日用气量</w:t>
            </w:r>
          </w:p>
        </w:tc>
        <w:tc>
          <w:tcPr>
            <w:tcW w:w="701"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年用气量用气比例</w:t>
            </w:r>
          </w:p>
        </w:tc>
        <w:tc>
          <w:tcPr>
            <w:tcW w:w="701"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年用气量</w:t>
            </w:r>
          </w:p>
        </w:tc>
        <w:tc>
          <w:tcPr>
            <w:tcW w:w="701"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平均日用气量</w:t>
            </w:r>
          </w:p>
        </w:tc>
        <w:tc>
          <w:tcPr>
            <w:tcW w:w="703"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年用气量用气比例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92"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居民</w:t>
            </w:r>
          </w:p>
        </w:tc>
        <w:tc>
          <w:tcPr>
            <w:tcW w:w="701" w:type="pct"/>
            <w:vAlign w:val="center"/>
          </w:tcPr>
          <w:p>
            <w:pPr>
              <w:jc w:val="center"/>
              <w:rPr>
                <w:rFonts w:ascii="宋体" w:hAnsi="宋体"/>
                <w:color w:val="000000"/>
                <w:sz w:val="24"/>
              </w:rPr>
            </w:pPr>
            <w:r>
              <w:rPr>
                <w:rFonts w:hint="eastAsia" w:ascii="宋体" w:hAnsi="宋体"/>
                <w:color w:val="000000"/>
                <w:sz w:val="24"/>
              </w:rPr>
              <w:t xml:space="preserve">7640 </w:t>
            </w:r>
          </w:p>
        </w:tc>
        <w:tc>
          <w:tcPr>
            <w:tcW w:w="701" w:type="pct"/>
            <w:vAlign w:val="center"/>
          </w:tcPr>
          <w:p>
            <w:pPr>
              <w:jc w:val="center"/>
              <w:rPr>
                <w:rFonts w:ascii="宋体" w:hAnsi="宋体"/>
                <w:color w:val="000000"/>
                <w:sz w:val="24"/>
              </w:rPr>
            </w:pPr>
            <w:r>
              <w:rPr>
                <w:rFonts w:hint="eastAsia" w:ascii="宋体" w:hAnsi="宋体"/>
                <w:color w:val="000000"/>
                <w:sz w:val="24"/>
              </w:rPr>
              <w:t xml:space="preserve">20.93 </w:t>
            </w:r>
          </w:p>
        </w:tc>
        <w:tc>
          <w:tcPr>
            <w:tcW w:w="701" w:type="pct"/>
            <w:vAlign w:val="center"/>
          </w:tcPr>
          <w:p>
            <w:pPr>
              <w:jc w:val="center"/>
              <w:rPr>
                <w:rFonts w:ascii="宋体" w:hAnsi="宋体"/>
                <w:color w:val="000000"/>
                <w:sz w:val="24"/>
              </w:rPr>
            </w:pPr>
            <w:r>
              <w:rPr>
                <w:rFonts w:hint="eastAsia" w:ascii="宋体" w:hAnsi="宋体"/>
                <w:color w:val="000000"/>
                <w:sz w:val="24"/>
              </w:rPr>
              <w:t>10.4%</w:t>
            </w:r>
          </w:p>
        </w:tc>
        <w:tc>
          <w:tcPr>
            <w:tcW w:w="701" w:type="pct"/>
            <w:vAlign w:val="center"/>
          </w:tcPr>
          <w:p>
            <w:pPr>
              <w:jc w:val="center"/>
              <w:rPr>
                <w:rFonts w:ascii="宋体" w:hAnsi="宋体"/>
                <w:color w:val="000000"/>
                <w:sz w:val="24"/>
              </w:rPr>
            </w:pPr>
            <w:r>
              <w:rPr>
                <w:rFonts w:hint="eastAsia" w:ascii="宋体" w:hAnsi="宋体"/>
                <w:color w:val="000000"/>
                <w:sz w:val="24"/>
              </w:rPr>
              <w:t>14340</w:t>
            </w:r>
          </w:p>
        </w:tc>
        <w:tc>
          <w:tcPr>
            <w:tcW w:w="701" w:type="pct"/>
            <w:vAlign w:val="center"/>
          </w:tcPr>
          <w:p>
            <w:pPr>
              <w:jc w:val="center"/>
              <w:rPr>
                <w:rFonts w:ascii="宋体" w:hAnsi="宋体"/>
                <w:color w:val="000000"/>
                <w:sz w:val="24"/>
              </w:rPr>
            </w:pPr>
            <w:r>
              <w:rPr>
                <w:rFonts w:hint="eastAsia" w:ascii="宋体" w:hAnsi="宋体"/>
                <w:color w:val="000000"/>
                <w:sz w:val="24"/>
              </w:rPr>
              <w:t>39.29</w:t>
            </w:r>
          </w:p>
        </w:tc>
        <w:tc>
          <w:tcPr>
            <w:tcW w:w="703" w:type="pct"/>
            <w:vAlign w:val="center"/>
          </w:tcPr>
          <w:p>
            <w:pPr>
              <w:jc w:val="center"/>
              <w:rPr>
                <w:rFonts w:ascii="宋体" w:hAnsi="宋体"/>
                <w:color w:val="000000"/>
                <w:sz w:val="24"/>
              </w:rPr>
            </w:pPr>
            <w:r>
              <w:rPr>
                <w:rFonts w:hint="eastAsia" w:ascii="宋体" w:hAnsi="宋体"/>
                <w:color w:val="000000"/>
                <w:sz w:val="24"/>
              </w:rPr>
              <w:t>10.9%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92"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商业</w:t>
            </w:r>
          </w:p>
        </w:tc>
        <w:tc>
          <w:tcPr>
            <w:tcW w:w="701" w:type="pct"/>
            <w:vAlign w:val="center"/>
          </w:tcPr>
          <w:p>
            <w:pPr>
              <w:jc w:val="center"/>
              <w:rPr>
                <w:rFonts w:ascii="宋体" w:hAnsi="宋体"/>
                <w:color w:val="000000"/>
                <w:sz w:val="24"/>
              </w:rPr>
            </w:pPr>
            <w:r>
              <w:rPr>
                <w:rFonts w:hint="eastAsia" w:ascii="宋体" w:hAnsi="宋体"/>
                <w:color w:val="000000"/>
                <w:sz w:val="24"/>
              </w:rPr>
              <w:t xml:space="preserve">6570 </w:t>
            </w:r>
          </w:p>
        </w:tc>
        <w:tc>
          <w:tcPr>
            <w:tcW w:w="701" w:type="pct"/>
            <w:vAlign w:val="center"/>
          </w:tcPr>
          <w:p>
            <w:pPr>
              <w:jc w:val="center"/>
              <w:rPr>
                <w:rFonts w:ascii="宋体" w:hAnsi="宋体"/>
                <w:color w:val="000000"/>
                <w:sz w:val="24"/>
              </w:rPr>
            </w:pPr>
            <w:r>
              <w:rPr>
                <w:rFonts w:hint="eastAsia" w:ascii="宋体" w:hAnsi="宋体"/>
                <w:color w:val="000000"/>
                <w:sz w:val="24"/>
              </w:rPr>
              <w:t xml:space="preserve">18.00 </w:t>
            </w:r>
          </w:p>
        </w:tc>
        <w:tc>
          <w:tcPr>
            <w:tcW w:w="701" w:type="pct"/>
            <w:vAlign w:val="center"/>
          </w:tcPr>
          <w:p>
            <w:pPr>
              <w:jc w:val="center"/>
              <w:rPr>
                <w:rFonts w:ascii="宋体" w:hAnsi="宋体"/>
                <w:color w:val="000000"/>
                <w:sz w:val="24"/>
              </w:rPr>
            </w:pPr>
            <w:r>
              <w:rPr>
                <w:rFonts w:hint="eastAsia" w:ascii="宋体" w:hAnsi="宋体"/>
                <w:color w:val="000000"/>
                <w:sz w:val="24"/>
              </w:rPr>
              <w:t>9.0%</w:t>
            </w:r>
          </w:p>
        </w:tc>
        <w:tc>
          <w:tcPr>
            <w:tcW w:w="701" w:type="pct"/>
            <w:vAlign w:val="center"/>
          </w:tcPr>
          <w:p>
            <w:pPr>
              <w:jc w:val="center"/>
              <w:rPr>
                <w:rFonts w:ascii="宋体" w:hAnsi="宋体"/>
                <w:color w:val="000000"/>
                <w:sz w:val="24"/>
              </w:rPr>
            </w:pPr>
            <w:r>
              <w:rPr>
                <w:rFonts w:hint="eastAsia" w:ascii="宋体" w:hAnsi="宋体"/>
                <w:color w:val="000000"/>
                <w:sz w:val="24"/>
              </w:rPr>
              <w:t>13599</w:t>
            </w:r>
          </w:p>
        </w:tc>
        <w:tc>
          <w:tcPr>
            <w:tcW w:w="701" w:type="pct"/>
            <w:vAlign w:val="center"/>
          </w:tcPr>
          <w:p>
            <w:pPr>
              <w:jc w:val="center"/>
              <w:rPr>
                <w:rFonts w:ascii="宋体" w:hAnsi="宋体"/>
                <w:color w:val="000000"/>
                <w:sz w:val="24"/>
              </w:rPr>
            </w:pPr>
            <w:r>
              <w:rPr>
                <w:rFonts w:hint="eastAsia" w:ascii="宋体" w:hAnsi="宋体"/>
                <w:color w:val="000000"/>
                <w:sz w:val="24"/>
              </w:rPr>
              <w:t>37.26</w:t>
            </w:r>
          </w:p>
        </w:tc>
        <w:tc>
          <w:tcPr>
            <w:tcW w:w="703" w:type="pct"/>
            <w:vAlign w:val="center"/>
          </w:tcPr>
          <w:p>
            <w:pPr>
              <w:jc w:val="center"/>
              <w:rPr>
                <w:rFonts w:ascii="宋体" w:hAnsi="宋体"/>
                <w:color w:val="000000"/>
                <w:sz w:val="24"/>
              </w:rPr>
            </w:pPr>
            <w:r>
              <w:rPr>
                <w:rFonts w:hint="eastAsia" w:ascii="宋体" w:hAnsi="宋体"/>
                <w:color w:val="000000"/>
                <w:sz w:val="24"/>
              </w:rPr>
              <w:t>10.4%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92"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工业</w:t>
            </w:r>
          </w:p>
        </w:tc>
        <w:tc>
          <w:tcPr>
            <w:tcW w:w="701" w:type="pct"/>
            <w:vAlign w:val="center"/>
          </w:tcPr>
          <w:p>
            <w:pPr>
              <w:jc w:val="center"/>
              <w:rPr>
                <w:rFonts w:ascii="宋体" w:hAnsi="宋体"/>
                <w:color w:val="000000"/>
                <w:sz w:val="24"/>
              </w:rPr>
            </w:pPr>
            <w:r>
              <w:rPr>
                <w:rFonts w:hint="eastAsia" w:ascii="宋体" w:hAnsi="宋体"/>
                <w:color w:val="000000"/>
                <w:sz w:val="24"/>
              </w:rPr>
              <w:t xml:space="preserve">32699 </w:t>
            </w:r>
          </w:p>
        </w:tc>
        <w:tc>
          <w:tcPr>
            <w:tcW w:w="701" w:type="pct"/>
            <w:vAlign w:val="center"/>
          </w:tcPr>
          <w:p>
            <w:pPr>
              <w:jc w:val="center"/>
              <w:rPr>
                <w:rFonts w:ascii="宋体" w:hAnsi="宋体"/>
                <w:color w:val="000000"/>
                <w:sz w:val="24"/>
              </w:rPr>
            </w:pPr>
            <w:r>
              <w:rPr>
                <w:rFonts w:hint="eastAsia" w:ascii="宋体" w:hAnsi="宋体"/>
                <w:color w:val="000000"/>
                <w:sz w:val="24"/>
              </w:rPr>
              <w:t xml:space="preserve">89.59 </w:t>
            </w:r>
          </w:p>
        </w:tc>
        <w:tc>
          <w:tcPr>
            <w:tcW w:w="701" w:type="pct"/>
            <w:vAlign w:val="center"/>
          </w:tcPr>
          <w:p>
            <w:pPr>
              <w:jc w:val="center"/>
              <w:rPr>
                <w:rFonts w:ascii="宋体" w:hAnsi="宋体"/>
                <w:color w:val="000000"/>
                <w:sz w:val="24"/>
              </w:rPr>
            </w:pPr>
            <w:r>
              <w:rPr>
                <w:rFonts w:hint="eastAsia" w:ascii="宋体" w:hAnsi="宋体"/>
                <w:color w:val="000000"/>
                <w:sz w:val="24"/>
              </w:rPr>
              <w:t>44.6%</w:t>
            </w:r>
          </w:p>
        </w:tc>
        <w:tc>
          <w:tcPr>
            <w:tcW w:w="701" w:type="pct"/>
            <w:vAlign w:val="center"/>
          </w:tcPr>
          <w:p>
            <w:pPr>
              <w:jc w:val="center"/>
              <w:rPr>
                <w:rFonts w:ascii="宋体" w:hAnsi="宋体"/>
                <w:color w:val="000000"/>
                <w:sz w:val="24"/>
              </w:rPr>
            </w:pPr>
            <w:r>
              <w:rPr>
                <w:rFonts w:hint="eastAsia" w:ascii="宋体" w:hAnsi="宋体"/>
                <w:color w:val="000000"/>
                <w:sz w:val="24"/>
              </w:rPr>
              <w:t>50501</w:t>
            </w:r>
          </w:p>
        </w:tc>
        <w:tc>
          <w:tcPr>
            <w:tcW w:w="701" w:type="pct"/>
            <w:vAlign w:val="center"/>
          </w:tcPr>
          <w:p>
            <w:pPr>
              <w:jc w:val="center"/>
              <w:rPr>
                <w:rFonts w:ascii="宋体" w:hAnsi="宋体"/>
                <w:color w:val="000000"/>
                <w:sz w:val="24"/>
              </w:rPr>
            </w:pPr>
            <w:r>
              <w:rPr>
                <w:rFonts w:hint="eastAsia" w:ascii="宋体" w:hAnsi="宋体"/>
                <w:color w:val="000000"/>
                <w:sz w:val="24"/>
              </w:rPr>
              <w:t>138.36</w:t>
            </w:r>
          </w:p>
        </w:tc>
        <w:tc>
          <w:tcPr>
            <w:tcW w:w="703" w:type="pct"/>
            <w:vAlign w:val="center"/>
          </w:tcPr>
          <w:p>
            <w:pPr>
              <w:jc w:val="center"/>
              <w:rPr>
                <w:rFonts w:ascii="宋体" w:hAnsi="宋体"/>
                <w:color w:val="000000"/>
                <w:sz w:val="24"/>
              </w:rPr>
            </w:pPr>
            <w:r>
              <w:rPr>
                <w:rFonts w:hint="eastAsia" w:ascii="宋体" w:hAnsi="宋体"/>
                <w:color w:val="000000"/>
                <w:sz w:val="24"/>
              </w:rPr>
              <w:t>38.5%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92"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分布式能源</w:t>
            </w:r>
          </w:p>
        </w:tc>
        <w:tc>
          <w:tcPr>
            <w:tcW w:w="701" w:type="pct"/>
            <w:vAlign w:val="center"/>
          </w:tcPr>
          <w:p>
            <w:pPr>
              <w:jc w:val="center"/>
              <w:rPr>
                <w:rFonts w:ascii="宋体" w:hAnsi="宋体" w:cs="宋体"/>
                <w:color w:val="000000"/>
                <w:sz w:val="24"/>
              </w:rPr>
            </w:pPr>
            <w:r>
              <w:rPr>
                <w:rFonts w:hint="eastAsia" w:ascii="宋体" w:hAnsi="宋体"/>
                <w:color w:val="000000"/>
                <w:sz w:val="24"/>
              </w:rPr>
              <w:t xml:space="preserve">24012 </w:t>
            </w:r>
          </w:p>
        </w:tc>
        <w:tc>
          <w:tcPr>
            <w:tcW w:w="701" w:type="pct"/>
            <w:vAlign w:val="center"/>
          </w:tcPr>
          <w:p>
            <w:pPr>
              <w:jc w:val="center"/>
              <w:rPr>
                <w:rFonts w:ascii="宋体" w:hAnsi="宋体" w:cs="宋体"/>
                <w:color w:val="000000"/>
                <w:sz w:val="24"/>
              </w:rPr>
            </w:pPr>
            <w:r>
              <w:rPr>
                <w:rFonts w:hint="eastAsia" w:ascii="宋体" w:hAnsi="宋体"/>
                <w:color w:val="000000"/>
                <w:sz w:val="24"/>
              </w:rPr>
              <w:t xml:space="preserve">65.79 </w:t>
            </w:r>
          </w:p>
        </w:tc>
        <w:tc>
          <w:tcPr>
            <w:tcW w:w="701" w:type="pct"/>
            <w:vAlign w:val="center"/>
          </w:tcPr>
          <w:p>
            <w:pPr>
              <w:jc w:val="center"/>
              <w:rPr>
                <w:rFonts w:ascii="宋体" w:hAnsi="宋体"/>
                <w:color w:val="000000"/>
                <w:sz w:val="24"/>
              </w:rPr>
            </w:pPr>
            <w:r>
              <w:rPr>
                <w:rFonts w:hint="eastAsia" w:ascii="宋体" w:hAnsi="宋体"/>
                <w:color w:val="000000"/>
                <w:sz w:val="24"/>
              </w:rPr>
              <w:t>32.7%</w:t>
            </w:r>
          </w:p>
        </w:tc>
        <w:tc>
          <w:tcPr>
            <w:tcW w:w="701" w:type="pct"/>
            <w:vAlign w:val="center"/>
          </w:tcPr>
          <w:p>
            <w:pPr>
              <w:jc w:val="center"/>
              <w:rPr>
                <w:rFonts w:ascii="宋体" w:hAnsi="宋体"/>
                <w:color w:val="000000"/>
                <w:sz w:val="24"/>
              </w:rPr>
            </w:pPr>
            <w:r>
              <w:rPr>
                <w:rFonts w:hint="eastAsia" w:ascii="宋体" w:hAnsi="宋体"/>
                <w:color w:val="000000"/>
                <w:sz w:val="24"/>
              </w:rPr>
              <w:t xml:space="preserve">48571 </w:t>
            </w:r>
          </w:p>
        </w:tc>
        <w:tc>
          <w:tcPr>
            <w:tcW w:w="701" w:type="pct"/>
            <w:vAlign w:val="center"/>
          </w:tcPr>
          <w:p>
            <w:pPr>
              <w:jc w:val="center"/>
              <w:rPr>
                <w:rFonts w:ascii="宋体" w:hAnsi="宋体"/>
                <w:color w:val="000000"/>
                <w:sz w:val="24"/>
              </w:rPr>
            </w:pPr>
            <w:r>
              <w:rPr>
                <w:rFonts w:hint="eastAsia" w:ascii="宋体" w:hAnsi="宋体"/>
                <w:color w:val="000000"/>
                <w:sz w:val="24"/>
              </w:rPr>
              <w:t xml:space="preserve">133.07 </w:t>
            </w:r>
          </w:p>
        </w:tc>
        <w:tc>
          <w:tcPr>
            <w:tcW w:w="703" w:type="pct"/>
            <w:vAlign w:val="center"/>
          </w:tcPr>
          <w:p>
            <w:pPr>
              <w:jc w:val="center"/>
              <w:rPr>
                <w:rFonts w:ascii="宋体" w:hAnsi="宋体"/>
                <w:color w:val="000000"/>
                <w:sz w:val="24"/>
              </w:rPr>
            </w:pPr>
            <w:r>
              <w:rPr>
                <w:rFonts w:hint="eastAsia" w:ascii="宋体" w:hAnsi="宋体"/>
                <w:color w:val="000000"/>
                <w:sz w:val="24"/>
              </w:rPr>
              <w:t>37.0%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92"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未预见量</w:t>
            </w:r>
          </w:p>
        </w:tc>
        <w:tc>
          <w:tcPr>
            <w:tcW w:w="701" w:type="pct"/>
            <w:vAlign w:val="center"/>
          </w:tcPr>
          <w:p>
            <w:pPr>
              <w:jc w:val="center"/>
              <w:rPr>
                <w:rFonts w:ascii="宋体" w:hAnsi="宋体" w:cs="宋体"/>
                <w:color w:val="000000"/>
                <w:sz w:val="24"/>
              </w:rPr>
            </w:pPr>
            <w:r>
              <w:rPr>
                <w:rFonts w:hint="eastAsia" w:ascii="宋体" w:hAnsi="宋体"/>
                <w:color w:val="000000"/>
                <w:sz w:val="24"/>
              </w:rPr>
              <w:t xml:space="preserve">2469 </w:t>
            </w:r>
          </w:p>
        </w:tc>
        <w:tc>
          <w:tcPr>
            <w:tcW w:w="701" w:type="pct"/>
            <w:vAlign w:val="center"/>
          </w:tcPr>
          <w:p>
            <w:pPr>
              <w:jc w:val="center"/>
              <w:rPr>
                <w:rFonts w:ascii="宋体" w:hAnsi="宋体" w:cs="宋体"/>
                <w:color w:val="000000"/>
                <w:sz w:val="24"/>
              </w:rPr>
            </w:pPr>
            <w:r>
              <w:rPr>
                <w:rFonts w:hint="eastAsia" w:ascii="宋体" w:hAnsi="宋体"/>
                <w:color w:val="000000"/>
                <w:sz w:val="24"/>
              </w:rPr>
              <w:t xml:space="preserve">6.76 </w:t>
            </w:r>
          </w:p>
        </w:tc>
        <w:tc>
          <w:tcPr>
            <w:tcW w:w="701" w:type="pct"/>
            <w:vAlign w:val="center"/>
          </w:tcPr>
          <w:p>
            <w:pPr>
              <w:jc w:val="center"/>
              <w:rPr>
                <w:rFonts w:ascii="宋体" w:hAnsi="宋体"/>
                <w:color w:val="000000"/>
                <w:sz w:val="24"/>
              </w:rPr>
            </w:pPr>
            <w:r>
              <w:rPr>
                <w:rFonts w:hint="eastAsia" w:ascii="宋体" w:hAnsi="宋体"/>
                <w:color w:val="000000"/>
                <w:sz w:val="24"/>
              </w:rPr>
              <w:t>3.4%</w:t>
            </w:r>
          </w:p>
        </w:tc>
        <w:tc>
          <w:tcPr>
            <w:tcW w:w="701" w:type="pct"/>
            <w:vAlign w:val="center"/>
          </w:tcPr>
          <w:p>
            <w:pPr>
              <w:jc w:val="center"/>
              <w:rPr>
                <w:rFonts w:ascii="宋体" w:hAnsi="宋体"/>
                <w:color w:val="000000"/>
                <w:sz w:val="24"/>
              </w:rPr>
            </w:pPr>
            <w:r>
              <w:rPr>
                <w:rFonts w:hint="eastAsia" w:ascii="宋体" w:hAnsi="宋体"/>
                <w:color w:val="000000"/>
                <w:sz w:val="24"/>
              </w:rPr>
              <w:t xml:space="preserve">4128 </w:t>
            </w:r>
          </w:p>
        </w:tc>
        <w:tc>
          <w:tcPr>
            <w:tcW w:w="701" w:type="pct"/>
            <w:vAlign w:val="center"/>
          </w:tcPr>
          <w:p>
            <w:pPr>
              <w:jc w:val="center"/>
              <w:rPr>
                <w:rFonts w:ascii="宋体" w:hAnsi="宋体"/>
                <w:color w:val="000000"/>
                <w:sz w:val="24"/>
              </w:rPr>
            </w:pPr>
            <w:r>
              <w:rPr>
                <w:rFonts w:hint="eastAsia" w:ascii="宋体" w:hAnsi="宋体"/>
                <w:color w:val="000000"/>
                <w:sz w:val="24"/>
              </w:rPr>
              <w:t xml:space="preserve">11.31 </w:t>
            </w:r>
          </w:p>
        </w:tc>
        <w:tc>
          <w:tcPr>
            <w:tcW w:w="703" w:type="pct"/>
            <w:vAlign w:val="center"/>
          </w:tcPr>
          <w:p>
            <w:pPr>
              <w:jc w:val="center"/>
              <w:rPr>
                <w:rFonts w:ascii="宋体" w:hAnsi="宋体"/>
                <w:color w:val="000000"/>
                <w:sz w:val="24"/>
              </w:rPr>
            </w:pPr>
            <w:r>
              <w:rPr>
                <w:rFonts w:hint="eastAsia" w:ascii="宋体" w:hAnsi="宋体"/>
                <w:color w:val="000000"/>
                <w:sz w:val="24"/>
              </w:rPr>
              <w:t>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92" w:type="pct"/>
            <w:shd w:val="clear" w:color="auto" w:fill="E0E0E0"/>
            <w:vAlign w:val="center"/>
          </w:tcPr>
          <w:p>
            <w:pPr>
              <w:pStyle w:val="15"/>
              <w:spacing w:line="240" w:lineRule="auto"/>
              <w:ind w:firstLine="0"/>
              <w:jc w:val="center"/>
              <w:rPr>
                <w:rFonts w:ascii="宋体" w:hAnsi="宋体" w:eastAsia="宋体"/>
                <w:b/>
                <w:bCs/>
              </w:rPr>
            </w:pPr>
            <w:r>
              <w:rPr>
                <w:rFonts w:hint="eastAsia" w:ascii="宋体" w:hAnsi="宋体" w:eastAsia="宋体"/>
                <w:b/>
                <w:bCs/>
              </w:rPr>
              <w:t>合计</w:t>
            </w:r>
          </w:p>
        </w:tc>
        <w:tc>
          <w:tcPr>
            <w:tcW w:w="701" w:type="pct"/>
            <w:vAlign w:val="center"/>
          </w:tcPr>
          <w:p>
            <w:pPr>
              <w:jc w:val="center"/>
              <w:rPr>
                <w:rFonts w:ascii="宋体" w:hAnsi="宋体" w:cs="宋体"/>
                <w:b/>
                <w:bCs/>
                <w:color w:val="000000"/>
                <w:sz w:val="24"/>
              </w:rPr>
            </w:pPr>
            <w:r>
              <w:rPr>
                <w:rFonts w:hint="eastAsia" w:ascii="宋体" w:hAnsi="宋体"/>
                <w:b/>
                <w:bCs/>
                <w:color w:val="000000"/>
                <w:sz w:val="24"/>
              </w:rPr>
              <w:t xml:space="preserve">73390 </w:t>
            </w:r>
          </w:p>
        </w:tc>
        <w:tc>
          <w:tcPr>
            <w:tcW w:w="701" w:type="pct"/>
            <w:vAlign w:val="center"/>
          </w:tcPr>
          <w:p>
            <w:pPr>
              <w:jc w:val="center"/>
              <w:rPr>
                <w:rFonts w:ascii="宋体" w:hAnsi="宋体" w:cs="宋体"/>
                <w:b/>
                <w:bCs/>
                <w:color w:val="000000"/>
                <w:sz w:val="24"/>
              </w:rPr>
            </w:pPr>
            <w:r>
              <w:rPr>
                <w:rFonts w:hint="eastAsia" w:ascii="宋体" w:hAnsi="宋体"/>
                <w:b/>
                <w:bCs/>
                <w:color w:val="000000"/>
                <w:sz w:val="24"/>
              </w:rPr>
              <w:t xml:space="preserve">201.07 </w:t>
            </w:r>
          </w:p>
        </w:tc>
        <w:tc>
          <w:tcPr>
            <w:tcW w:w="701" w:type="pct"/>
            <w:vAlign w:val="center"/>
          </w:tcPr>
          <w:p>
            <w:pPr>
              <w:jc w:val="center"/>
              <w:rPr>
                <w:rFonts w:ascii="宋体" w:hAnsi="宋体"/>
                <w:b/>
                <w:bCs/>
                <w:color w:val="000000"/>
                <w:sz w:val="24"/>
              </w:rPr>
            </w:pPr>
            <w:r>
              <w:rPr>
                <w:rFonts w:ascii="宋体" w:hAnsi="宋体"/>
                <w:b/>
                <w:bCs/>
                <w:color w:val="000000"/>
                <w:sz w:val="24"/>
              </w:rPr>
              <w:t xml:space="preserve">100% </w:t>
            </w:r>
          </w:p>
        </w:tc>
        <w:tc>
          <w:tcPr>
            <w:tcW w:w="701" w:type="pct"/>
            <w:vAlign w:val="center"/>
          </w:tcPr>
          <w:p>
            <w:pPr>
              <w:jc w:val="center"/>
              <w:rPr>
                <w:rFonts w:ascii="宋体" w:hAnsi="宋体" w:cs="宋体"/>
                <w:b/>
                <w:bCs/>
                <w:color w:val="000000"/>
                <w:sz w:val="24"/>
              </w:rPr>
            </w:pPr>
            <w:r>
              <w:rPr>
                <w:rFonts w:hint="eastAsia" w:ascii="宋体" w:hAnsi="宋体"/>
                <w:b/>
                <w:bCs/>
                <w:color w:val="000000"/>
                <w:sz w:val="24"/>
              </w:rPr>
              <w:t xml:space="preserve">131139 </w:t>
            </w:r>
          </w:p>
        </w:tc>
        <w:tc>
          <w:tcPr>
            <w:tcW w:w="701" w:type="pct"/>
            <w:vAlign w:val="center"/>
          </w:tcPr>
          <w:p>
            <w:pPr>
              <w:jc w:val="center"/>
              <w:rPr>
                <w:rFonts w:ascii="宋体" w:hAnsi="宋体" w:cs="宋体"/>
                <w:b/>
                <w:bCs/>
                <w:color w:val="000000"/>
                <w:sz w:val="24"/>
              </w:rPr>
            </w:pPr>
            <w:r>
              <w:rPr>
                <w:rFonts w:hint="eastAsia" w:ascii="宋体" w:hAnsi="宋体"/>
                <w:b/>
                <w:bCs/>
                <w:color w:val="000000"/>
                <w:sz w:val="24"/>
              </w:rPr>
              <w:t xml:space="preserve">359.29 </w:t>
            </w:r>
          </w:p>
        </w:tc>
        <w:tc>
          <w:tcPr>
            <w:tcW w:w="703" w:type="pct"/>
            <w:vAlign w:val="center"/>
          </w:tcPr>
          <w:p>
            <w:pPr>
              <w:jc w:val="center"/>
              <w:rPr>
                <w:rFonts w:ascii="宋体" w:hAnsi="宋体"/>
                <w:b/>
                <w:bCs/>
                <w:color w:val="000000"/>
                <w:sz w:val="24"/>
              </w:rPr>
            </w:pPr>
            <w:r>
              <w:rPr>
                <w:rFonts w:ascii="宋体" w:hAnsi="宋体"/>
                <w:b/>
                <w:bCs/>
                <w:color w:val="000000"/>
                <w:sz w:val="24"/>
              </w:rPr>
              <w:t xml:space="preserve">100% </w:t>
            </w:r>
          </w:p>
        </w:tc>
      </w:tr>
    </w:tbl>
    <w:p>
      <w:pPr>
        <w:pStyle w:val="15"/>
        <w:spacing w:line="240" w:lineRule="auto"/>
        <w:ind w:left="425" w:right="-155" w:rightChars="-74" w:firstLine="0"/>
        <w:jc w:val="left"/>
        <w:rPr>
          <w:rFonts w:ascii="宋体" w:hAnsi="宋体" w:eastAsia="宋体"/>
          <w:b/>
        </w:rPr>
      </w:pPr>
    </w:p>
    <w:p>
      <w:pPr>
        <w:pStyle w:val="11"/>
        <w:spacing w:line="360" w:lineRule="auto"/>
        <w:ind w:firstLine="0" w:firstLineChars="0"/>
        <w:jc w:val="center"/>
      </w:pPr>
      <w:r>
        <w:rPr>
          <w:rFonts w:hint="eastAsia"/>
        </w:rPr>
        <w:t>表2温州市辖区分区域用气量汇总（单位：万m</w:t>
      </w:r>
      <w:r>
        <w:rPr>
          <w:rFonts w:hint="eastAsia"/>
          <w:vertAlign w:val="superscript"/>
        </w:rPr>
        <w:t>3</w:t>
      </w:r>
      <w:r>
        <w:rPr>
          <w:rFonts w:hint="eastAsia"/>
        </w:rPr>
        <w:t>）</w:t>
      </w:r>
    </w:p>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1"/>
        <w:gridCol w:w="1216"/>
        <w:gridCol w:w="1216"/>
        <w:gridCol w:w="1220"/>
        <w:gridCol w:w="1215"/>
        <w:gridCol w:w="1215"/>
        <w:gridCol w:w="12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716" w:type="pct"/>
            <w:vMerge w:val="restar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年限</w:t>
            </w:r>
          </w:p>
        </w:tc>
        <w:tc>
          <w:tcPr>
            <w:tcW w:w="2142" w:type="pct"/>
            <w:gridSpan w:val="3"/>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2025年</w:t>
            </w:r>
          </w:p>
        </w:tc>
        <w:tc>
          <w:tcPr>
            <w:tcW w:w="2142" w:type="pct"/>
            <w:gridSpan w:val="3"/>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2035年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blHeader/>
          <w:jc w:val="center"/>
        </w:trPr>
        <w:tc>
          <w:tcPr>
            <w:tcW w:w="716" w:type="pct"/>
            <w:vMerge w:val="continue"/>
            <w:shd w:val="clear" w:color="auto" w:fill="E0E0E0"/>
            <w:vAlign w:val="center"/>
          </w:tcPr>
          <w:p>
            <w:pPr>
              <w:pStyle w:val="15"/>
              <w:spacing w:line="240" w:lineRule="auto"/>
              <w:ind w:firstLine="0"/>
              <w:jc w:val="center"/>
              <w:rPr>
                <w:rFonts w:ascii="宋体" w:hAnsi="宋体" w:eastAsia="宋体"/>
              </w:rPr>
            </w:pPr>
          </w:p>
        </w:tc>
        <w:tc>
          <w:tcPr>
            <w:tcW w:w="713"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年用气量</w:t>
            </w:r>
          </w:p>
        </w:tc>
        <w:tc>
          <w:tcPr>
            <w:tcW w:w="713"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平均日用气量</w:t>
            </w:r>
          </w:p>
        </w:tc>
        <w:tc>
          <w:tcPr>
            <w:tcW w:w="716"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用气比例</w:t>
            </w:r>
          </w:p>
        </w:tc>
        <w:tc>
          <w:tcPr>
            <w:tcW w:w="713"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年用气量</w:t>
            </w:r>
          </w:p>
        </w:tc>
        <w:tc>
          <w:tcPr>
            <w:tcW w:w="713"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平均日用气量</w:t>
            </w:r>
          </w:p>
        </w:tc>
        <w:tc>
          <w:tcPr>
            <w:tcW w:w="716"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用气比例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6"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鹿城城区</w:t>
            </w:r>
          </w:p>
        </w:tc>
        <w:tc>
          <w:tcPr>
            <w:tcW w:w="713" w:type="pct"/>
            <w:vAlign w:val="center"/>
          </w:tcPr>
          <w:p>
            <w:pPr>
              <w:jc w:val="center"/>
              <w:rPr>
                <w:rFonts w:ascii="宋体" w:hAnsi="宋体"/>
                <w:color w:val="000000"/>
                <w:sz w:val="24"/>
              </w:rPr>
            </w:pPr>
            <w:r>
              <w:rPr>
                <w:rFonts w:hint="eastAsia" w:ascii="宋体" w:hAnsi="宋体"/>
                <w:color w:val="000000"/>
                <w:sz w:val="24"/>
              </w:rPr>
              <w:t xml:space="preserve">9076 </w:t>
            </w:r>
          </w:p>
        </w:tc>
        <w:tc>
          <w:tcPr>
            <w:tcW w:w="713" w:type="pct"/>
            <w:vAlign w:val="center"/>
          </w:tcPr>
          <w:p>
            <w:pPr>
              <w:jc w:val="center"/>
              <w:rPr>
                <w:rFonts w:ascii="宋体" w:hAnsi="宋体"/>
                <w:color w:val="000000"/>
                <w:sz w:val="24"/>
              </w:rPr>
            </w:pPr>
            <w:r>
              <w:rPr>
                <w:rFonts w:hint="eastAsia" w:ascii="宋体" w:hAnsi="宋体"/>
                <w:color w:val="000000"/>
                <w:sz w:val="24"/>
              </w:rPr>
              <w:t xml:space="preserve">24.87 </w:t>
            </w:r>
          </w:p>
        </w:tc>
        <w:tc>
          <w:tcPr>
            <w:tcW w:w="716" w:type="pct"/>
            <w:vAlign w:val="center"/>
          </w:tcPr>
          <w:p>
            <w:pPr>
              <w:jc w:val="center"/>
              <w:rPr>
                <w:rFonts w:ascii="宋体" w:hAnsi="宋体"/>
                <w:color w:val="000000"/>
                <w:sz w:val="24"/>
              </w:rPr>
            </w:pPr>
            <w:r>
              <w:rPr>
                <w:rFonts w:hint="eastAsia" w:ascii="宋体" w:hAnsi="宋体"/>
                <w:color w:val="000000"/>
                <w:sz w:val="24"/>
              </w:rPr>
              <w:t>12.4%</w:t>
            </w:r>
          </w:p>
        </w:tc>
        <w:tc>
          <w:tcPr>
            <w:tcW w:w="713" w:type="pct"/>
            <w:vAlign w:val="center"/>
          </w:tcPr>
          <w:p>
            <w:pPr>
              <w:jc w:val="center"/>
              <w:rPr>
                <w:rFonts w:ascii="宋体" w:hAnsi="宋体"/>
                <w:color w:val="000000"/>
                <w:sz w:val="24"/>
              </w:rPr>
            </w:pPr>
            <w:r>
              <w:rPr>
                <w:rFonts w:hint="eastAsia" w:ascii="宋体" w:hAnsi="宋体"/>
                <w:color w:val="000000"/>
                <w:sz w:val="24"/>
              </w:rPr>
              <w:t>14832</w:t>
            </w:r>
          </w:p>
        </w:tc>
        <w:tc>
          <w:tcPr>
            <w:tcW w:w="713" w:type="pct"/>
            <w:vAlign w:val="center"/>
          </w:tcPr>
          <w:p>
            <w:pPr>
              <w:jc w:val="center"/>
              <w:rPr>
                <w:rFonts w:ascii="宋体" w:hAnsi="宋体"/>
                <w:color w:val="000000"/>
                <w:sz w:val="24"/>
              </w:rPr>
            </w:pPr>
            <w:r>
              <w:rPr>
                <w:rFonts w:hint="eastAsia" w:ascii="宋体" w:hAnsi="宋体"/>
                <w:color w:val="000000"/>
                <w:sz w:val="24"/>
              </w:rPr>
              <w:t>40.64</w:t>
            </w:r>
          </w:p>
        </w:tc>
        <w:tc>
          <w:tcPr>
            <w:tcW w:w="716" w:type="pct"/>
            <w:vAlign w:val="center"/>
          </w:tcPr>
          <w:p>
            <w:pPr>
              <w:jc w:val="center"/>
              <w:rPr>
                <w:rFonts w:ascii="宋体" w:hAnsi="宋体"/>
                <w:color w:val="000000"/>
                <w:sz w:val="24"/>
              </w:rPr>
            </w:pPr>
            <w:r>
              <w:rPr>
                <w:rFonts w:hint="eastAsia" w:ascii="宋体" w:hAnsi="宋体"/>
                <w:color w:val="000000"/>
                <w:sz w:val="24"/>
              </w:rPr>
              <w:t>11.3%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6"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龙湾区</w:t>
            </w:r>
          </w:p>
        </w:tc>
        <w:tc>
          <w:tcPr>
            <w:tcW w:w="713" w:type="pct"/>
            <w:vAlign w:val="center"/>
          </w:tcPr>
          <w:p>
            <w:pPr>
              <w:jc w:val="center"/>
              <w:rPr>
                <w:rFonts w:ascii="宋体" w:hAnsi="宋体"/>
                <w:color w:val="000000"/>
                <w:sz w:val="24"/>
              </w:rPr>
            </w:pPr>
            <w:r>
              <w:rPr>
                <w:rFonts w:hint="eastAsia" w:ascii="宋体" w:hAnsi="宋体"/>
                <w:color w:val="000000"/>
                <w:sz w:val="24"/>
              </w:rPr>
              <w:t xml:space="preserve">52661 </w:t>
            </w:r>
          </w:p>
        </w:tc>
        <w:tc>
          <w:tcPr>
            <w:tcW w:w="713" w:type="pct"/>
            <w:vAlign w:val="center"/>
          </w:tcPr>
          <w:p>
            <w:pPr>
              <w:jc w:val="center"/>
              <w:rPr>
                <w:rFonts w:ascii="宋体" w:hAnsi="宋体"/>
                <w:color w:val="000000"/>
                <w:sz w:val="24"/>
              </w:rPr>
            </w:pPr>
            <w:r>
              <w:rPr>
                <w:rFonts w:hint="eastAsia" w:ascii="宋体" w:hAnsi="宋体"/>
                <w:color w:val="000000"/>
                <w:sz w:val="24"/>
              </w:rPr>
              <w:t xml:space="preserve">144.28 </w:t>
            </w:r>
          </w:p>
        </w:tc>
        <w:tc>
          <w:tcPr>
            <w:tcW w:w="716" w:type="pct"/>
            <w:vAlign w:val="center"/>
          </w:tcPr>
          <w:p>
            <w:pPr>
              <w:jc w:val="center"/>
              <w:rPr>
                <w:rFonts w:ascii="宋体" w:hAnsi="宋体"/>
                <w:color w:val="000000"/>
                <w:sz w:val="24"/>
              </w:rPr>
            </w:pPr>
            <w:r>
              <w:rPr>
                <w:rFonts w:hint="eastAsia" w:ascii="宋体" w:hAnsi="宋体"/>
                <w:color w:val="000000"/>
                <w:sz w:val="24"/>
              </w:rPr>
              <w:t>71.8%</w:t>
            </w:r>
          </w:p>
        </w:tc>
        <w:tc>
          <w:tcPr>
            <w:tcW w:w="713" w:type="pct"/>
            <w:vAlign w:val="center"/>
          </w:tcPr>
          <w:p>
            <w:pPr>
              <w:jc w:val="center"/>
              <w:rPr>
                <w:rFonts w:ascii="宋体" w:hAnsi="宋体"/>
                <w:color w:val="000000"/>
                <w:sz w:val="24"/>
              </w:rPr>
            </w:pPr>
            <w:r>
              <w:rPr>
                <w:rFonts w:hint="eastAsia" w:ascii="宋体" w:hAnsi="宋体"/>
                <w:color w:val="000000"/>
                <w:sz w:val="24"/>
              </w:rPr>
              <w:t>92987</w:t>
            </w:r>
          </w:p>
        </w:tc>
        <w:tc>
          <w:tcPr>
            <w:tcW w:w="713" w:type="pct"/>
            <w:vAlign w:val="center"/>
          </w:tcPr>
          <w:p>
            <w:pPr>
              <w:jc w:val="center"/>
              <w:rPr>
                <w:rFonts w:ascii="宋体" w:hAnsi="宋体"/>
                <w:color w:val="000000"/>
                <w:sz w:val="24"/>
              </w:rPr>
            </w:pPr>
            <w:r>
              <w:rPr>
                <w:rFonts w:hint="eastAsia" w:ascii="宋体" w:hAnsi="宋体"/>
                <w:color w:val="000000"/>
                <w:sz w:val="24"/>
              </w:rPr>
              <w:t>254.76</w:t>
            </w:r>
          </w:p>
        </w:tc>
        <w:tc>
          <w:tcPr>
            <w:tcW w:w="716" w:type="pct"/>
            <w:vAlign w:val="center"/>
          </w:tcPr>
          <w:p>
            <w:pPr>
              <w:jc w:val="center"/>
              <w:rPr>
                <w:rFonts w:ascii="宋体" w:hAnsi="宋体"/>
                <w:color w:val="000000"/>
                <w:sz w:val="24"/>
              </w:rPr>
            </w:pPr>
            <w:r>
              <w:rPr>
                <w:rFonts w:hint="eastAsia" w:ascii="宋体" w:hAnsi="宋体"/>
                <w:color w:val="000000"/>
                <w:sz w:val="24"/>
              </w:rPr>
              <w:t>70.9%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6"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瓯海城区</w:t>
            </w:r>
          </w:p>
        </w:tc>
        <w:tc>
          <w:tcPr>
            <w:tcW w:w="713" w:type="pct"/>
            <w:vAlign w:val="center"/>
          </w:tcPr>
          <w:p>
            <w:pPr>
              <w:jc w:val="center"/>
              <w:rPr>
                <w:rFonts w:ascii="宋体" w:hAnsi="宋体"/>
                <w:color w:val="000000"/>
                <w:sz w:val="24"/>
              </w:rPr>
            </w:pPr>
            <w:r>
              <w:rPr>
                <w:rFonts w:hint="eastAsia" w:ascii="宋体" w:hAnsi="宋体"/>
                <w:color w:val="000000"/>
                <w:sz w:val="24"/>
              </w:rPr>
              <w:t xml:space="preserve">8315 </w:t>
            </w:r>
          </w:p>
        </w:tc>
        <w:tc>
          <w:tcPr>
            <w:tcW w:w="713" w:type="pct"/>
            <w:vAlign w:val="center"/>
          </w:tcPr>
          <w:p>
            <w:pPr>
              <w:jc w:val="center"/>
              <w:rPr>
                <w:rFonts w:ascii="宋体" w:hAnsi="宋体"/>
                <w:color w:val="000000"/>
                <w:sz w:val="24"/>
              </w:rPr>
            </w:pPr>
            <w:r>
              <w:rPr>
                <w:rFonts w:hint="eastAsia" w:ascii="宋体" w:hAnsi="宋体"/>
                <w:color w:val="000000"/>
                <w:sz w:val="24"/>
              </w:rPr>
              <w:t xml:space="preserve">22.78 </w:t>
            </w:r>
          </w:p>
        </w:tc>
        <w:tc>
          <w:tcPr>
            <w:tcW w:w="716" w:type="pct"/>
            <w:vAlign w:val="center"/>
          </w:tcPr>
          <w:p>
            <w:pPr>
              <w:jc w:val="center"/>
              <w:rPr>
                <w:rFonts w:ascii="宋体" w:hAnsi="宋体"/>
                <w:color w:val="000000"/>
                <w:sz w:val="24"/>
              </w:rPr>
            </w:pPr>
            <w:r>
              <w:rPr>
                <w:rFonts w:hint="eastAsia" w:ascii="宋体" w:hAnsi="宋体"/>
                <w:color w:val="000000"/>
                <w:sz w:val="24"/>
              </w:rPr>
              <w:t>11.3%</w:t>
            </w:r>
          </w:p>
        </w:tc>
        <w:tc>
          <w:tcPr>
            <w:tcW w:w="713" w:type="pct"/>
            <w:vAlign w:val="center"/>
          </w:tcPr>
          <w:p>
            <w:pPr>
              <w:jc w:val="center"/>
              <w:rPr>
                <w:rFonts w:ascii="宋体" w:hAnsi="宋体"/>
                <w:color w:val="000000"/>
                <w:sz w:val="24"/>
              </w:rPr>
            </w:pPr>
            <w:r>
              <w:rPr>
                <w:rFonts w:hint="eastAsia" w:ascii="宋体" w:hAnsi="宋体"/>
                <w:color w:val="000000"/>
                <w:sz w:val="24"/>
              </w:rPr>
              <w:t>14931</w:t>
            </w:r>
          </w:p>
        </w:tc>
        <w:tc>
          <w:tcPr>
            <w:tcW w:w="713" w:type="pct"/>
            <w:vAlign w:val="center"/>
          </w:tcPr>
          <w:p>
            <w:pPr>
              <w:jc w:val="center"/>
              <w:rPr>
                <w:rFonts w:ascii="宋体" w:hAnsi="宋体"/>
                <w:color w:val="000000"/>
                <w:sz w:val="24"/>
              </w:rPr>
            </w:pPr>
            <w:r>
              <w:rPr>
                <w:rFonts w:hint="eastAsia" w:ascii="宋体" w:hAnsi="宋体"/>
                <w:color w:val="000000"/>
                <w:sz w:val="24"/>
              </w:rPr>
              <w:t>40.91</w:t>
            </w:r>
          </w:p>
        </w:tc>
        <w:tc>
          <w:tcPr>
            <w:tcW w:w="716" w:type="pct"/>
            <w:vAlign w:val="center"/>
          </w:tcPr>
          <w:p>
            <w:pPr>
              <w:jc w:val="center"/>
              <w:rPr>
                <w:rFonts w:ascii="宋体" w:hAnsi="宋体"/>
                <w:color w:val="000000"/>
                <w:sz w:val="24"/>
              </w:rPr>
            </w:pPr>
            <w:r>
              <w:rPr>
                <w:rFonts w:hint="eastAsia" w:ascii="宋体" w:hAnsi="宋体"/>
                <w:color w:val="000000"/>
                <w:sz w:val="24"/>
              </w:rPr>
              <w:t>11.4%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6"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洞头城区</w:t>
            </w:r>
          </w:p>
        </w:tc>
        <w:tc>
          <w:tcPr>
            <w:tcW w:w="713" w:type="pct"/>
            <w:vAlign w:val="center"/>
          </w:tcPr>
          <w:p>
            <w:pPr>
              <w:jc w:val="center"/>
              <w:rPr>
                <w:rFonts w:ascii="宋体" w:hAnsi="宋体"/>
                <w:color w:val="000000"/>
                <w:sz w:val="24"/>
              </w:rPr>
            </w:pPr>
            <w:r>
              <w:rPr>
                <w:rFonts w:hint="eastAsia" w:ascii="宋体" w:hAnsi="宋体"/>
                <w:color w:val="000000"/>
                <w:sz w:val="24"/>
              </w:rPr>
              <w:t xml:space="preserve">1089 </w:t>
            </w:r>
          </w:p>
        </w:tc>
        <w:tc>
          <w:tcPr>
            <w:tcW w:w="713" w:type="pct"/>
            <w:vAlign w:val="center"/>
          </w:tcPr>
          <w:p>
            <w:pPr>
              <w:jc w:val="center"/>
              <w:rPr>
                <w:rFonts w:ascii="宋体" w:hAnsi="宋体"/>
                <w:color w:val="000000"/>
                <w:sz w:val="24"/>
              </w:rPr>
            </w:pPr>
            <w:r>
              <w:rPr>
                <w:rFonts w:hint="eastAsia" w:ascii="宋体" w:hAnsi="宋体"/>
                <w:color w:val="000000"/>
                <w:sz w:val="24"/>
              </w:rPr>
              <w:t xml:space="preserve">2.98 </w:t>
            </w:r>
          </w:p>
        </w:tc>
        <w:tc>
          <w:tcPr>
            <w:tcW w:w="716" w:type="pct"/>
            <w:vAlign w:val="center"/>
          </w:tcPr>
          <w:p>
            <w:pPr>
              <w:jc w:val="center"/>
              <w:rPr>
                <w:rFonts w:ascii="宋体" w:hAnsi="宋体"/>
                <w:color w:val="000000"/>
                <w:sz w:val="24"/>
              </w:rPr>
            </w:pPr>
            <w:r>
              <w:rPr>
                <w:rFonts w:hint="eastAsia" w:ascii="宋体" w:hAnsi="宋体"/>
                <w:color w:val="000000"/>
                <w:sz w:val="24"/>
              </w:rPr>
              <w:t>1.5%</w:t>
            </w:r>
          </w:p>
        </w:tc>
        <w:tc>
          <w:tcPr>
            <w:tcW w:w="713" w:type="pct"/>
            <w:vAlign w:val="center"/>
          </w:tcPr>
          <w:p>
            <w:pPr>
              <w:jc w:val="center"/>
              <w:rPr>
                <w:rFonts w:ascii="宋体" w:hAnsi="宋体"/>
                <w:color w:val="000000"/>
                <w:sz w:val="24"/>
              </w:rPr>
            </w:pPr>
            <w:r>
              <w:rPr>
                <w:rFonts w:hint="eastAsia" w:ascii="宋体" w:hAnsi="宋体"/>
                <w:color w:val="000000"/>
                <w:sz w:val="24"/>
              </w:rPr>
              <w:t>2166</w:t>
            </w:r>
          </w:p>
        </w:tc>
        <w:tc>
          <w:tcPr>
            <w:tcW w:w="713" w:type="pct"/>
            <w:vAlign w:val="center"/>
          </w:tcPr>
          <w:p>
            <w:pPr>
              <w:jc w:val="center"/>
              <w:rPr>
                <w:rFonts w:ascii="宋体" w:hAnsi="宋体"/>
                <w:color w:val="000000"/>
                <w:sz w:val="24"/>
              </w:rPr>
            </w:pPr>
            <w:r>
              <w:rPr>
                <w:rFonts w:hint="eastAsia" w:ascii="宋体" w:hAnsi="宋体"/>
                <w:color w:val="000000"/>
                <w:sz w:val="24"/>
              </w:rPr>
              <w:t>5.93</w:t>
            </w:r>
          </w:p>
        </w:tc>
        <w:tc>
          <w:tcPr>
            <w:tcW w:w="716" w:type="pct"/>
            <w:vAlign w:val="center"/>
          </w:tcPr>
          <w:p>
            <w:pPr>
              <w:jc w:val="center"/>
              <w:rPr>
                <w:rFonts w:ascii="宋体" w:hAnsi="宋体"/>
                <w:color w:val="000000"/>
                <w:sz w:val="24"/>
              </w:rPr>
            </w:pPr>
            <w:r>
              <w:rPr>
                <w:rFonts w:hint="eastAsia" w:ascii="宋体" w:hAnsi="宋体"/>
                <w:color w:val="000000"/>
                <w:sz w:val="24"/>
              </w:rPr>
              <w:t>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6"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瓯江口</w:t>
            </w:r>
          </w:p>
        </w:tc>
        <w:tc>
          <w:tcPr>
            <w:tcW w:w="713" w:type="pct"/>
            <w:vAlign w:val="center"/>
          </w:tcPr>
          <w:p>
            <w:pPr>
              <w:jc w:val="center"/>
              <w:rPr>
                <w:rFonts w:ascii="宋体" w:hAnsi="宋体"/>
                <w:color w:val="000000"/>
                <w:sz w:val="24"/>
              </w:rPr>
            </w:pPr>
            <w:r>
              <w:rPr>
                <w:rFonts w:hint="eastAsia" w:ascii="宋体" w:hAnsi="宋体"/>
                <w:color w:val="000000"/>
                <w:sz w:val="24"/>
              </w:rPr>
              <w:t xml:space="preserve">1622 </w:t>
            </w:r>
          </w:p>
        </w:tc>
        <w:tc>
          <w:tcPr>
            <w:tcW w:w="713" w:type="pct"/>
            <w:vAlign w:val="center"/>
          </w:tcPr>
          <w:p>
            <w:pPr>
              <w:jc w:val="center"/>
              <w:rPr>
                <w:rFonts w:ascii="宋体" w:hAnsi="宋体"/>
                <w:color w:val="000000"/>
                <w:sz w:val="24"/>
              </w:rPr>
            </w:pPr>
            <w:r>
              <w:rPr>
                <w:rFonts w:hint="eastAsia" w:ascii="宋体" w:hAnsi="宋体"/>
                <w:color w:val="000000"/>
                <w:sz w:val="24"/>
              </w:rPr>
              <w:t xml:space="preserve">4.45 </w:t>
            </w:r>
          </w:p>
        </w:tc>
        <w:tc>
          <w:tcPr>
            <w:tcW w:w="716" w:type="pct"/>
            <w:vAlign w:val="center"/>
          </w:tcPr>
          <w:p>
            <w:pPr>
              <w:jc w:val="center"/>
              <w:rPr>
                <w:rFonts w:ascii="宋体" w:hAnsi="宋体"/>
                <w:color w:val="000000"/>
                <w:sz w:val="24"/>
              </w:rPr>
            </w:pPr>
            <w:r>
              <w:rPr>
                <w:rFonts w:hint="eastAsia" w:ascii="宋体" w:hAnsi="宋体"/>
                <w:color w:val="000000"/>
                <w:sz w:val="24"/>
              </w:rPr>
              <w:t>2.2%</w:t>
            </w:r>
          </w:p>
        </w:tc>
        <w:tc>
          <w:tcPr>
            <w:tcW w:w="713" w:type="pct"/>
            <w:vAlign w:val="center"/>
          </w:tcPr>
          <w:p>
            <w:pPr>
              <w:jc w:val="center"/>
              <w:rPr>
                <w:rFonts w:ascii="宋体" w:hAnsi="宋体"/>
                <w:color w:val="000000"/>
                <w:sz w:val="24"/>
              </w:rPr>
            </w:pPr>
            <w:r>
              <w:rPr>
                <w:rFonts w:hint="eastAsia" w:ascii="宋体" w:hAnsi="宋体"/>
                <w:color w:val="000000"/>
                <w:sz w:val="24"/>
              </w:rPr>
              <w:t>4633</w:t>
            </w:r>
          </w:p>
        </w:tc>
        <w:tc>
          <w:tcPr>
            <w:tcW w:w="713" w:type="pct"/>
            <w:vAlign w:val="center"/>
          </w:tcPr>
          <w:p>
            <w:pPr>
              <w:jc w:val="center"/>
              <w:rPr>
                <w:rFonts w:ascii="宋体" w:hAnsi="宋体"/>
                <w:color w:val="000000"/>
                <w:sz w:val="24"/>
              </w:rPr>
            </w:pPr>
            <w:r>
              <w:rPr>
                <w:rFonts w:hint="eastAsia" w:ascii="宋体" w:hAnsi="宋体"/>
                <w:color w:val="000000"/>
                <w:sz w:val="24"/>
              </w:rPr>
              <w:t>12.69</w:t>
            </w:r>
          </w:p>
        </w:tc>
        <w:tc>
          <w:tcPr>
            <w:tcW w:w="716" w:type="pct"/>
            <w:vAlign w:val="center"/>
          </w:tcPr>
          <w:p>
            <w:pPr>
              <w:jc w:val="center"/>
              <w:rPr>
                <w:rFonts w:ascii="宋体" w:hAnsi="宋体"/>
                <w:color w:val="000000"/>
                <w:sz w:val="24"/>
              </w:rPr>
            </w:pPr>
            <w:r>
              <w:rPr>
                <w:rFonts w:hint="eastAsia" w:ascii="宋体" w:hAnsi="宋体"/>
                <w:color w:val="000000"/>
                <w:sz w:val="24"/>
              </w:rPr>
              <w:t>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6"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藤桥镇</w:t>
            </w:r>
          </w:p>
        </w:tc>
        <w:tc>
          <w:tcPr>
            <w:tcW w:w="713" w:type="pct"/>
            <w:vAlign w:val="center"/>
          </w:tcPr>
          <w:p>
            <w:pPr>
              <w:jc w:val="center"/>
              <w:rPr>
                <w:rFonts w:ascii="宋体" w:hAnsi="宋体"/>
                <w:color w:val="000000"/>
                <w:sz w:val="24"/>
              </w:rPr>
            </w:pPr>
            <w:r>
              <w:rPr>
                <w:rFonts w:hint="eastAsia" w:ascii="宋体" w:hAnsi="宋体"/>
                <w:color w:val="000000"/>
                <w:sz w:val="24"/>
              </w:rPr>
              <w:t xml:space="preserve">445 </w:t>
            </w:r>
          </w:p>
        </w:tc>
        <w:tc>
          <w:tcPr>
            <w:tcW w:w="713" w:type="pct"/>
            <w:vAlign w:val="center"/>
          </w:tcPr>
          <w:p>
            <w:pPr>
              <w:jc w:val="center"/>
              <w:rPr>
                <w:rFonts w:ascii="宋体" w:hAnsi="宋体"/>
                <w:color w:val="000000"/>
                <w:sz w:val="24"/>
              </w:rPr>
            </w:pPr>
            <w:r>
              <w:rPr>
                <w:rFonts w:hint="eastAsia" w:ascii="宋体" w:hAnsi="宋体"/>
                <w:color w:val="000000"/>
                <w:sz w:val="24"/>
              </w:rPr>
              <w:t>1.22</w:t>
            </w:r>
          </w:p>
        </w:tc>
        <w:tc>
          <w:tcPr>
            <w:tcW w:w="716" w:type="pct"/>
            <w:vAlign w:val="center"/>
          </w:tcPr>
          <w:p>
            <w:pPr>
              <w:jc w:val="center"/>
              <w:rPr>
                <w:rFonts w:ascii="宋体" w:hAnsi="宋体"/>
                <w:color w:val="000000"/>
                <w:sz w:val="24"/>
              </w:rPr>
            </w:pPr>
            <w:r>
              <w:rPr>
                <w:rFonts w:hint="eastAsia" w:ascii="宋体" w:hAnsi="宋体"/>
                <w:color w:val="000000"/>
                <w:sz w:val="24"/>
              </w:rPr>
              <w:t>0.6%</w:t>
            </w:r>
          </w:p>
        </w:tc>
        <w:tc>
          <w:tcPr>
            <w:tcW w:w="713" w:type="pct"/>
            <w:vAlign w:val="center"/>
          </w:tcPr>
          <w:p>
            <w:pPr>
              <w:jc w:val="center"/>
              <w:rPr>
                <w:rFonts w:ascii="宋体" w:hAnsi="宋体"/>
                <w:color w:val="000000"/>
                <w:sz w:val="24"/>
              </w:rPr>
            </w:pPr>
            <w:r>
              <w:rPr>
                <w:rFonts w:hint="eastAsia" w:ascii="宋体" w:hAnsi="宋体"/>
                <w:color w:val="000000"/>
                <w:sz w:val="24"/>
              </w:rPr>
              <w:t>1043</w:t>
            </w:r>
          </w:p>
        </w:tc>
        <w:tc>
          <w:tcPr>
            <w:tcW w:w="713" w:type="pct"/>
            <w:vAlign w:val="center"/>
          </w:tcPr>
          <w:p>
            <w:pPr>
              <w:jc w:val="center"/>
              <w:rPr>
                <w:rFonts w:ascii="宋体" w:hAnsi="宋体"/>
                <w:color w:val="000000"/>
                <w:sz w:val="24"/>
              </w:rPr>
            </w:pPr>
            <w:r>
              <w:rPr>
                <w:rFonts w:hint="eastAsia" w:ascii="宋体" w:hAnsi="宋体"/>
                <w:color w:val="000000"/>
                <w:sz w:val="24"/>
              </w:rPr>
              <w:t>2.86</w:t>
            </w:r>
          </w:p>
        </w:tc>
        <w:tc>
          <w:tcPr>
            <w:tcW w:w="716" w:type="pct"/>
            <w:vAlign w:val="center"/>
          </w:tcPr>
          <w:p>
            <w:pPr>
              <w:jc w:val="center"/>
              <w:rPr>
                <w:rFonts w:ascii="宋体" w:hAnsi="宋体"/>
                <w:color w:val="000000"/>
                <w:sz w:val="24"/>
              </w:rPr>
            </w:pPr>
            <w:r>
              <w:rPr>
                <w:rFonts w:hint="eastAsia" w:ascii="宋体" w:hAnsi="宋体"/>
                <w:color w:val="000000"/>
                <w:sz w:val="24"/>
              </w:rPr>
              <w:t>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6"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山福镇</w:t>
            </w:r>
          </w:p>
        </w:tc>
        <w:tc>
          <w:tcPr>
            <w:tcW w:w="713" w:type="pct"/>
            <w:vAlign w:val="center"/>
          </w:tcPr>
          <w:p>
            <w:pPr>
              <w:jc w:val="center"/>
              <w:rPr>
                <w:rFonts w:ascii="宋体" w:hAnsi="宋体"/>
                <w:color w:val="000000"/>
                <w:sz w:val="24"/>
              </w:rPr>
            </w:pPr>
            <w:r>
              <w:rPr>
                <w:rFonts w:hint="eastAsia" w:ascii="宋体" w:hAnsi="宋体"/>
                <w:color w:val="000000"/>
                <w:sz w:val="24"/>
              </w:rPr>
              <w:t xml:space="preserve">57 </w:t>
            </w:r>
          </w:p>
        </w:tc>
        <w:tc>
          <w:tcPr>
            <w:tcW w:w="713" w:type="pct"/>
            <w:vAlign w:val="center"/>
          </w:tcPr>
          <w:p>
            <w:pPr>
              <w:jc w:val="center"/>
              <w:rPr>
                <w:rFonts w:ascii="宋体" w:hAnsi="宋体"/>
                <w:color w:val="000000"/>
                <w:sz w:val="24"/>
              </w:rPr>
            </w:pPr>
            <w:r>
              <w:rPr>
                <w:rFonts w:hint="eastAsia" w:ascii="宋体" w:hAnsi="宋体"/>
                <w:color w:val="000000"/>
                <w:sz w:val="24"/>
              </w:rPr>
              <w:t xml:space="preserve">0.16 </w:t>
            </w:r>
          </w:p>
        </w:tc>
        <w:tc>
          <w:tcPr>
            <w:tcW w:w="716" w:type="pct"/>
            <w:vAlign w:val="center"/>
          </w:tcPr>
          <w:p>
            <w:pPr>
              <w:jc w:val="center"/>
              <w:rPr>
                <w:rFonts w:ascii="宋体" w:hAnsi="宋体"/>
                <w:color w:val="000000"/>
                <w:sz w:val="24"/>
              </w:rPr>
            </w:pPr>
            <w:r>
              <w:rPr>
                <w:rFonts w:hint="eastAsia" w:ascii="宋体" w:hAnsi="宋体"/>
                <w:color w:val="000000"/>
                <w:sz w:val="24"/>
              </w:rPr>
              <w:t>0.1%</w:t>
            </w:r>
          </w:p>
        </w:tc>
        <w:tc>
          <w:tcPr>
            <w:tcW w:w="713" w:type="pct"/>
            <w:vAlign w:val="center"/>
          </w:tcPr>
          <w:p>
            <w:pPr>
              <w:jc w:val="center"/>
              <w:rPr>
                <w:rFonts w:ascii="宋体" w:hAnsi="宋体"/>
                <w:color w:val="000000"/>
                <w:sz w:val="24"/>
              </w:rPr>
            </w:pPr>
            <w:r>
              <w:rPr>
                <w:rFonts w:hint="eastAsia" w:ascii="宋体" w:hAnsi="宋体"/>
                <w:color w:val="000000"/>
                <w:sz w:val="24"/>
              </w:rPr>
              <w:t>150</w:t>
            </w:r>
          </w:p>
        </w:tc>
        <w:tc>
          <w:tcPr>
            <w:tcW w:w="713" w:type="pct"/>
            <w:vAlign w:val="center"/>
          </w:tcPr>
          <w:p>
            <w:pPr>
              <w:jc w:val="center"/>
              <w:rPr>
                <w:rFonts w:ascii="宋体" w:hAnsi="宋体"/>
                <w:color w:val="000000"/>
                <w:sz w:val="24"/>
              </w:rPr>
            </w:pPr>
            <w:r>
              <w:rPr>
                <w:rFonts w:hint="eastAsia" w:ascii="宋体" w:hAnsi="宋体"/>
                <w:color w:val="000000"/>
                <w:sz w:val="24"/>
              </w:rPr>
              <w:t>0.41</w:t>
            </w:r>
          </w:p>
        </w:tc>
        <w:tc>
          <w:tcPr>
            <w:tcW w:w="716" w:type="pct"/>
            <w:vAlign w:val="center"/>
          </w:tcPr>
          <w:p>
            <w:pPr>
              <w:jc w:val="center"/>
              <w:rPr>
                <w:rFonts w:ascii="宋体" w:hAnsi="宋体"/>
                <w:color w:val="000000"/>
                <w:sz w:val="24"/>
              </w:rPr>
            </w:pPr>
            <w:r>
              <w:rPr>
                <w:rFonts w:hint="eastAsia" w:ascii="宋体" w:hAnsi="宋体"/>
                <w:color w:val="000000"/>
                <w:sz w:val="24"/>
              </w:rPr>
              <w:t>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6"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泽雅镇</w:t>
            </w:r>
          </w:p>
        </w:tc>
        <w:tc>
          <w:tcPr>
            <w:tcW w:w="713" w:type="pct"/>
            <w:vAlign w:val="center"/>
          </w:tcPr>
          <w:p>
            <w:pPr>
              <w:jc w:val="center"/>
              <w:rPr>
                <w:rFonts w:ascii="宋体" w:hAnsi="宋体"/>
                <w:color w:val="000000"/>
                <w:sz w:val="24"/>
              </w:rPr>
            </w:pPr>
            <w:r>
              <w:rPr>
                <w:rFonts w:hint="eastAsia" w:ascii="宋体" w:hAnsi="宋体"/>
                <w:color w:val="000000"/>
                <w:sz w:val="24"/>
              </w:rPr>
              <w:t xml:space="preserve">117 </w:t>
            </w:r>
          </w:p>
        </w:tc>
        <w:tc>
          <w:tcPr>
            <w:tcW w:w="713" w:type="pct"/>
            <w:vAlign w:val="center"/>
          </w:tcPr>
          <w:p>
            <w:pPr>
              <w:jc w:val="center"/>
              <w:rPr>
                <w:rFonts w:ascii="宋体" w:hAnsi="宋体"/>
                <w:color w:val="000000"/>
                <w:sz w:val="24"/>
              </w:rPr>
            </w:pPr>
            <w:r>
              <w:rPr>
                <w:rFonts w:hint="eastAsia" w:ascii="宋体" w:hAnsi="宋体"/>
                <w:color w:val="000000"/>
                <w:sz w:val="24"/>
              </w:rPr>
              <w:t xml:space="preserve">0.32 </w:t>
            </w:r>
          </w:p>
        </w:tc>
        <w:tc>
          <w:tcPr>
            <w:tcW w:w="716" w:type="pct"/>
            <w:vAlign w:val="center"/>
          </w:tcPr>
          <w:p>
            <w:pPr>
              <w:jc w:val="center"/>
              <w:rPr>
                <w:rFonts w:ascii="宋体" w:hAnsi="宋体"/>
                <w:color w:val="000000"/>
                <w:sz w:val="24"/>
              </w:rPr>
            </w:pPr>
            <w:r>
              <w:rPr>
                <w:rFonts w:hint="eastAsia" w:ascii="宋体" w:hAnsi="宋体"/>
                <w:color w:val="000000"/>
                <w:sz w:val="24"/>
              </w:rPr>
              <w:t>0.2%</w:t>
            </w:r>
          </w:p>
        </w:tc>
        <w:tc>
          <w:tcPr>
            <w:tcW w:w="713" w:type="pct"/>
            <w:vAlign w:val="center"/>
          </w:tcPr>
          <w:p>
            <w:pPr>
              <w:jc w:val="center"/>
              <w:rPr>
                <w:rFonts w:ascii="宋体" w:hAnsi="宋体"/>
                <w:color w:val="000000"/>
                <w:sz w:val="24"/>
              </w:rPr>
            </w:pPr>
            <w:r>
              <w:rPr>
                <w:rFonts w:hint="eastAsia" w:ascii="宋体" w:hAnsi="宋体"/>
                <w:color w:val="000000"/>
                <w:sz w:val="24"/>
              </w:rPr>
              <w:t>335</w:t>
            </w:r>
          </w:p>
        </w:tc>
        <w:tc>
          <w:tcPr>
            <w:tcW w:w="713" w:type="pct"/>
            <w:vAlign w:val="center"/>
          </w:tcPr>
          <w:p>
            <w:pPr>
              <w:jc w:val="center"/>
              <w:rPr>
                <w:rFonts w:ascii="宋体" w:hAnsi="宋体"/>
                <w:color w:val="000000"/>
                <w:sz w:val="24"/>
              </w:rPr>
            </w:pPr>
            <w:r>
              <w:rPr>
                <w:rFonts w:hint="eastAsia" w:ascii="宋体" w:hAnsi="宋体"/>
                <w:color w:val="000000"/>
                <w:sz w:val="24"/>
              </w:rPr>
              <w:t>0.92</w:t>
            </w:r>
          </w:p>
        </w:tc>
        <w:tc>
          <w:tcPr>
            <w:tcW w:w="716" w:type="pct"/>
            <w:vAlign w:val="center"/>
          </w:tcPr>
          <w:p>
            <w:pPr>
              <w:jc w:val="center"/>
              <w:rPr>
                <w:rFonts w:ascii="宋体" w:hAnsi="宋体"/>
                <w:color w:val="000000"/>
                <w:sz w:val="24"/>
              </w:rPr>
            </w:pPr>
            <w:r>
              <w:rPr>
                <w:rFonts w:hint="eastAsia" w:ascii="宋体" w:hAnsi="宋体"/>
                <w:color w:val="000000"/>
                <w:sz w:val="24"/>
              </w:rPr>
              <w:t>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6" w:type="pct"/>
            <w:shd w:val="clear" w:color="auto" w:fill="E0E0E0"/>
            <w:vAlign w:val="center"/>
          </w:tcPr>
          <w:p>
            <w:pPr>
              <w:pStyle w:val="15"/>
              <w:spacing w:line="240" w:lineRule="auto"/>
              <w:ind w:firstLine="0"/>
              <w:jc w:val="center"/>
              <w:rPr>
                <w:rFonts w:ascii="宋体" w:hAnsi="宋体" w:eastAsia="宋体"/>
              </w:rPr>
            </w:pPr>
            <w:r>
              <w:rPr>
                <w:rFonts w:hint="eastAsia" w:ascii="宋体" w:hAnsi="宋体" w:eastAsia="宋体"/>
              </w:rPr>
              <w:t>鹿西乡</w:t>
            </w:r>
          </w:p>
        </w:tc>
        <w:tc>
          <w:tcPr>
            <w:tcW w:w="713" w:type="pct"/>
            <w:vAlign w:val="center"/>
          </w:tcPr>
          <w:p>
            <w:pPr>
              <w:jc w:val="center"/>
              <w:rPr>
                <w:rFonts w:ascii="宋体" w:hAnsi="宋体"/>
                <w:color w:val="000000"/>
                <w:sz w:val="24"/>
              </w:rPr>
            </w:pPr>
            <w:r>
              <w:rPr>
                <w:rFonts w:hint="eastAsia" w:ascii="宋体" w:hAnsi="宋体"/>
                <w:color w:val="000000"/>
                <w:sz w:val="24"/>
              </w:rPr>
              <w:t xml:space="preserve">8 </w:t>
            </w:r>
          </w:p>
        </w:tc>
        <w:tc>
          <w:tcPr>
            <w:tcW w:w="713" w:type="pct"/>
            <w:vAlign w:val="center"/>
          </w:tcPr>
          <w:p>
            <w:pPr>
              <w:jc w:val="center"/>
              <w:rPr>
                <w:rFonts w:ascii="宋体" w:hAnsi="宋体"/>
                <w:color w:val="000000"/>
                <w:sz w:val="24"/>
              </w:rPr>
            </w:pPr>
            <w:r>
              <w:rPr>
                <w:rFonts w:hint="eastAsia" w:ascii="宋体" w:hAnsi="宋体"/>
                <w:color w:val="000000"/>
                <w:sz w:val="24"/>
              </w:rPr>
              <w:t xml:space="preserve">0.02 </w:t>
            </w:r>
          </w:p>
        </w:tc>
        <w:tc>
          <w:tcPr>
            <w:tcW w:w="716" w:type="pct"/>
            <w:vAlign w:val="center"/>
          </w:tcPr>
          <w:p>
            <w:pPr>
              <w:jc w:val="center"/>
              <w:rPr>
                <w:rFonts w:ascii="宋体" w:hAnsi="宋体"/>
                <w:color w:val="000000"/>
                <w:sz w:val="24"/>
              </w:rPr>
            </w:pPr>
            <w:r>
              <w:rPr>
                <w:rFonts w:hint="eastAsia" w:ascii="宋体" w:hAnsi="宋体"/>
                <w:color w:val="000000"/>
                <w:sz w:val="24"/>
              </w:rPr>
              <w:t>0.0%</w:t>
            </w:r>
          </w:p>
        </w:tc>
        <w:tc>
          <w:tcPr>
            <w:tcW w:w="713" w:type="pct"/>
            <w:vAlign w:val="center"/>
          </w:tcPr>
          <w:p>
            <w:pPr>
              <w:jc w:val="center"/>
              <w:rPr>
                <w:rFonts w:ascii="宋体" w:hAnsi="宋体"/>
                <w:color w:val="000000"/>
                <w:sz w:val="24"/>
              </w:rPr>
            </w:pPr>
            <w:r>
              <w:rPr>
                <w:rFonts w:hint="eastAsia" w:ascii="宋体" w:hAnsi="宋体"/>
                <w:color w:val="000000"/>
                <w:sz w:val="24"/>
              </w:rPr>
              <w:t>63</w:t>
            </w:r>
          </w:p>
        </w:tc>
        <w:tc>
          <w:tcPr>
            <w:tcW w:w="713" w:type="pct"/>
            <w:vAlign w:val="center"/>
          </w:tcPr>
          <w:p>
            <w:pPr>
              <w:jc w:val="center"/>
              <w:rPr>
                <w:rFonts w:ascii="宋体" w:hAnsi="宋体"/>
                <w:color w:val="000000"/>
                <w:sz w:val="24"/>
              </w:rPr>
            </w:pPr>
            <w:r>
              <w:rPr>
                <w:rFonts w:hint="eastAsia" w:ascii="宋体" w:hAnsi="宋体"/>
                <w:color w:val="000000"/>
                <w:sz w:val="24"/>
              </w:rPr>
              <w:t>0.17</w:t>
            </w:r>
          </w:p>
        </w:tc>
        <w:tc>
          <w:tcPr>
            <w:tcW w:w="716" w:type="pct"/>
            <w:vAlign w:val="center"/>
          </w:tcPr>
          <w:p>
            <w:pPr>
              <w:jc w:val="center"/>
              <w:rPr>
                <w:rFonts w:ascii="宋体" w:hAnsi="宋体"/>
                <w:color w:val="000000"/>
                <w:sz w:val="24"/>
              </w:rPr>
            </w:pPr>
            <w:r>
              <w:rPr>
                <w:rFonts w:hint="eastAsia" w:ascii="宋体" w:hAnsi="宋体"/>
                <w:color w:val="000000"/>
                <w:sz w:val="24"/>
              </w:rPr>
              <w:t>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716" w:type="pct"/>
            <w:shd w:val="clear" w:color="auto" w:fill="E0E0E0"/>
            <w:vAlign w:val="center"/>
          </w:tcPr>
          <w:p>
            <w:pPr>
              <w:pStyle w:val="15"/>
              <w:spacing w:line="240" w:lineRule="auto"/>
              <w:ind w:firstLine="0"/>
              <w:jc w:val="center"/>
              <w:rPr>
                <w:rFonts w:ascii="宋体" w:hAnsi="宋体" w:eastAsia="宋体"/>
                <w:b/>
                <w:bCs/>
              </w:rPr>
            </w:pPr>
            <w:r>
              <w:rPr>
                <w:rFonts w:hint="eastAsia" w:ascii="宋体" w:hAnsi="宋体" w:eastAsia="宋体"/>
                <w:b/>
                <w:bCs/>
              </w:rPr>
              <w:t>合计</w:t>
            </w:r>
          </w:p>
        </w:tc>
        <w:tc>
          <w:tcPr>
            <w:tcW w:w="713" w:type="pct"/>
            <w:vAlign w:val="center"/>
          </w:tcPr>
          <w:p>
            <w:pPr>
              <w:jc w:val="center"/>
              <w:rPr>
                <w:rFonts w:ascii="宋体" w:hAnsi="宋体"/>
                <w:b/>
                <w:bCs/>
                <w:color w:val="000000"/>
                <w:sz w:val="24"/>
              </w:rPr>
            </w:pPr>
            <w:r>
              <w:rPr>
                <w:rFonts w:hint="eastAsia" w:ascii="宋体" w:hAnsi="宋体"/>
                <w:b/>
                <w:bCs/>
                <w:color w:val="000000"/>
                <w:sz w:val="24"/>
              </w:rPr>
              <w:t xml:space="preserve">73390 </w:t>
            </w:r>
          </w:p>
        </w:tc>
        <w:tc>
          <w:tcPr>
            <w:tcW w:w="713" w:type="pct"/>
            <w:vAlign w:val="center"/>
          </w:tcPr>
          <w:p>
            <w:pPr>
              <w:jc w:val="center"/>
              <w:rPr>
                <w:rFonts w:ascii="宋体" w:hAnsi="宋体"/>
                <w:b/>
                <w:bCs/>
                <w:color w:val="000000"/>
                <w:sz w:val="24"/>
              </w:rPr>
            </w:pPr>
            <w:r>
              <w:rPr>
                <w:rFonts w:hint="eastAsia" w:ascii="宋体" w:hAnsi="宋体"/>
                <w:b/>
                <w:bCs/>
                <w:color w:val="000000"/>
                <w:sz w:val="24"/>
              </w:rPr>
              <w:t>201.07</w:t>
            </w:r>
          </w:p>
        </w:tc>
        <w:tc>
          <w:tcPr>
            <w:tcW w:w="716" w:type="pct"/>
            <w:vAlign w:val="center"/>
          </w:tcPr>
          <w:p>
            <w:pPr>
              <w:pStyle w:val="15"/>
              <w:spacing w:line="240" w:lineRule="auto"/>
              <w:ind w:firstLine="0"/>
              <w:jc w:val="center"/>
              <w:rPr>
                <w:rFonts w:ascii="宋体" w:hAnsi="宋体" w:eastAsia="宋体"/>
                <w:b/>
                <w:bCs/>
                <w:color w:val="000000"/>
                <w:kern w:val="2"/>
              </w:rPr>
            </w:pPr>
            <w:r>
              <w:rPr>
                <w:rFonts w:ascii="宋体" w:hAnsi="宋体" w:eastAsia="宋体"/>
                <w:b/>
                <w:bCs/>
                <w:color w:val="000000"/>
                <w:kern w:val="2"/>
              </w:rPr>
              <w:t>100%</w:t>
            </w:r>
          </w:p>
        </w:tc>
        <w:tc>
          <w:tcPr>
            <w:tcW w:w="713" w:type="pct"/>
            <w:vAlign w:val="center"/>
          </w:tcPr>
          <w:p>
            <w:pPr>
              <w:jc w:val="center"/>
              <w:rPr>
                <w:rFonts w:ascii="宋体" w:hAnsi="宋体"/>
                <w:b/>
                <w:bCs/>
                <w:color w:val="000000"/>
                <w:sz w:val="24"/>
              </w:rPr>
            </w:pPr>
            <w:r>
              <w:rPr>
                <w:rFonts w:hint="eastAsia" w:ascii="宋体" w:hAnsi="宋体"/>
                <w:b/>
                <w:bCs/>
                <w:color w:val="000000"/>
                <w:sz w:val="24"/>
              </w:rPr>
              <w:t xml:space="preserve">131139 </w:t>
            </w:r>
          </w:p>
        </w:tc>
        <w:tc>
          <w:tcPr>
            <w:tcW w:w="713" w:type="pct"/>
            <w:vAlign w:val="center"/>
          </w:tcPr>
          <w:p>
            <w:pPr>
              <w:jc w:val="center"/>
              <w:rPr>
                <w:rFonts w:ascii="宋体" w:hAnsi="宋体"/>
                <w:b/>
                <w:bCs/>
                <w:color w:val="000000"/>
                <w:sz w:val="24"/>
              </w:rPr>
            </w:pPr>
            <w:r>
              <w:rPr>
                <w:rFonts w:hint="eastAsia" w:ascii="宋体" w:hAnsi="宋体"/>
                <w:b/>
                <w:bCs/>
                <w:color w:val="000000"/>
                <w:sz w:val="24"/>
              </w:rPr>
              <w:t>359.29</w:t>
            </w:r>
          </w:p>
        </w:tc>
        <w:tc>
          <w:tcPr>
            <w:tcW w:w="716" w:type="pct"/>
            <w:vAlign w:val="center"/>
          </w:tcPr>
          <w:p>
            <w:pPr>
              <w:pStyle w:val="15"/>
              <w:spacing w:line="240" w:lineRule="auto"/>
              <w:ind w:firstLine="0"/>
              <w:jc w:val="center"/>
              <w:rPr>
                <w:rFonts w:ascii="宋体" w:hAnsi="宋体" w:eastAsia="宋体"/>
                <w:b/>
                <w:bCs/>
                <w:color w:val="000000"/>
                <w:kern w:val="2"/>
              </w:rPr>
            </w:pPr>
            <w:r>
              <w:rPr>
                <w:rFonts w:ascii="宋体" w:hAnsi="宋体" w:eastAsia="宋体"/>
                <w:b/>
                <w:bCs/>
                <w:color w:val="000000"/>
                <w:kern w:val="2"/>
              </w:rPr>
              <w:t>100%</w:t>
            </w:r>
          </w:p>
        </w:tc>
      </w:tr>
    </w:tbl>
    <w:p>
      <w:pPr>
        <w:spacing w:line="480" w:lineRule="atLeast"/>
      </w:pPr>
    </w:p>
    <w:p>
      <w:pPr>
        <w:sectPr>
          <w:pgSz w:w="11907" w:h="16839"/>
          <w:pgMar w:top="1440" w:right="1800" w:bottom="1440" w:left="1800" w:header="851" w:footer="992" w:gutter="0"/>
          <w:cols w:space="720" w:num="1"/>
          <w:docGrid w:type="lines" w:linePitch="312" w:charSpace="0"/>
        </w:sectPr>
      </w:pPr>
    </w:p>
    <w:p>
      <w:pPr>
        <w:pStyle w:val="2"/>
        <w:numPr>
          <w:ilvl w:val="0"/>
          <w:numId w:val="1"/>
        </w:numPr>
        <w:spacing w:before="240" w:after="160" w:line="440" w:lineRule="exact"/>
        <w:jc w:val="center"/>
        <w:rPr>
          <w:sz w:val="36"/>
        </w:rPr>
      </w:pPr>
      <w:r>
        <w:rPr>
          <w:rFonts w:hint="eastAsia"/>
          <w:sz w:val="36"/>
        </w:rPr>
        <w:t>天然气输配系统</w:t>
      </w:r>
    </w:p>
    <w:p>
      <w:pPr>
        <w:pStyle w:val="3"/>
        <w:numPr>
          <w:ilvl w:val="1"/>
          <w:numId w:val="1"/>
        </w:numPr>
        <w:spacing w:before="160" w:after="80" w:line="440" w:lineRule="exact"/>
        <w:jc w:val="both"/>
        <w:rPr>
          <w:rFonts w:ascii="Times New Roman"/>
        </w:rPr>
      </w:pPr>
      <w:r>
        <w:rPr>
          <w:rFonts w:hint="eastAsia"/>
        </w:rPr>
        <w:t>输配系统方案</w:t>
      </w:r>
    </w:p>
    <w:p>
      <w:pPr>
        <w:pStyle w:val="11"/>
        <w:spacing w:line="480" w:lineRule="atLeast"/>
        <w:ind w:firstLine="480"/>
      </w:pPr>
      <w:r>
        <w:rPr>
          <w:rFonts w:hint="eastAsia"/>
        </w:rPr>
        <w:t>规划区域2035年总体输配系统形成“</w:t>
      </w:r>
      <w:r>
        <w:rPr>
          <w:rFonts w:hint="eastAsia"/>
          <w:b/>
        </w:rPr>
        <w:t>多源多点、管网互通、区域一体、四大片区</w:t>
      </w:r>
      <w:r>
        <w:rPr>
          <w:rFonts w:hint="eastAsia"/>
        </w:rPr>
        <w:t>”的天然气输配系统供气格局。</w:t>
      </w:r>
    </w:p>
    <w:p>
      <w:pPr>
        <w:pStyle w:val="11"/>
        <w:spacing w:line="480" w:lineRule="atLeast"/>
        <w:ind w:firstLine="480"/>
      </w:pPr>
      <w:r>
        <w:rPr>
          <w:rFonts w:hint="eastAsia"/>
        </w:rPr>
        <w:t>“</w:t>
      </w:r>
      <w:r>
        <w:rPr>
          <w:rFonts w:hint="eastAsia"/>
          <w:b/>
        </w:rPr>
        <w:t>多源多点</w:t>
      </w:r>
      <w:r>
        <w:rPr>
          <w:rFonts w:hint="eastAsia"/>
        </w:rPr>
        <w:t>”—一方面指上游四条输送长输管线对规划区域形成东、西、北向环绕格局，另一方面是指规划区域从东南西北四个方向共引入10路主供气源、2路预留气源、2路补充气源。多源多点接入格局，较大程度上保障了规划区域供气的安全性、可靠性。</w:t>
      </w:r>
    </w:p>
    <w:p>
      <w:pPr>
        <w:pStyle w:val="11"/>
        <w:spacing w:line="480" w:lineRule="atLeast"/>
        <w:ind w:firstLine="480"/>
      </w:pPr>
      <w:r>
        <w:rPr>
          <w:rFonts w:hint="eastAsia"/>
        </w:rPr>
        <w:t>“</w:t>
      </w:r>
      <w:r>
        <w:rPr>
          <w:rFonts w:hint="eastAsia"/>
          <w:b/>
        </w:rPr>
        <w:t>管网互通、区域一体</w:t>
      </w:r>
      <w:r>
        <w:rPr>
          <w:rFonts w:hint="eastAsia"/>
        </w:rPr>
        <w:t>”—即指规划区域江北永嘉、乐清两片区考虑中压主干管跨瓯江与江南联通；江南依托温瑞平原一体化发展，建立高中压一体化发展供气网络。从而构建区域一体、互联互通的高中压骨干供气管网保障系统。</w:t>
      </w:r>
    </w:p>
    <w:p>
      <w:pPr>
        <w:pStyle w:val="11"/>
        <w:spacing w:line="480" w:lineRule="atLeast"/>
        <w:ind w:firstLine="480"/>
      </w:pPr>
      <w:r>
        <w:rPr>
          <w:rFonts w:hint="eastAsia"/>
        </w:rPr>
        <w:t>“</w:t>
      </w:r>
      <w:r>
        <w:rPr>
          <w:rFonts w:hint="eastAsia"/>
          <w:b/>
        </w:rPr>
        <w:t>四大片区</w:t>
      </w:r>
      <w:r>
        <w:rPr>
          <w:rFonts w:hint="eastAsia"/>
        </w:rPr>
        <w:t>”—即四大供气区域，分别为市辖区、瑞安片区、乐清片区以及永嘉片区。</w:t>
      </w:r>
    </w:p>
    <w:p>
      <w:pPr>
        <w:pStyle w:val="11"/>
        <w:spacing w:line="480" w:lineRule="atLeast"/>
        <w:ind w:firstLine="480"/>
      </w:pPr>
      <w:r>
        <w:rPr>
          <w:rFonts w:hint="eastAsia"/>
        </w:rPr>
        <w:t>市辖区主城三区2035年总体输配系统形成“</w:t>
      </w:r>
      <w:r>
        <w:rPr>
          <w:rFonts w:hint="eastAsia"/>
          <w:b/>
        </w:rPr>
        <w:t>两源接入、多站供应、横贯东西、纵贯南北</w:t>
      </w:r>
      <w:r>
        <w:rPr>
          <w:rFonts w:hint="eastAsia"/>
        </w:rPr>
        <w:t>”的高压输配系统供气格局。</w:t>
      </w:r>
    </w:p>
    <w:p>
      <w:pPr>
        <w:pStyle w:val="11"/>
        <w:spacing w:line="480" w:lineRule="atLeast"/>
        <w:ind w:firstLine="480"/>
      </w:pPr>
      <w:r>
        <w:rPr>
          <w:rFonts w:hint="eastAsia"/>
        </w:rPr>
        <w:t>“</w:t>
      </w:r>
      <w:r>
        <w:rPr>
          <w:rFonts w:hint="eastAsia"/>
          <w:b/>
        </w:rPr>
        <w:t>两源接入</w:t>
      </w:r>
      <w:r>
        <w:rPr>
          <w:rFonts w:hint="eastAsia"/>
        </w:rPr>
        <w:t xml:space="preserve">”：指东向门站接龙湾分输站甬台温气源，西向门站接入温州末站金丽温气源及及甬台温支线气源、温州联络站川气东送二线气源； </w:t>
      </w:r>
    </w:p>
    <w:p>
      <w:pPr>
        <w:pStyle w:val="11"/>
        <w:spacing w:line="480" w:lineRule="atLeast"/>
        <w:ind w:firstLine="480"/>
      </w:pPr>
      <w:r>
        <w:rPr>
          <w:rFonts w:hint="eastAsia"/>
        </w:rPr>
        <w:t>“</w:t>
      </w:r>
      <w:r>
        <w:rPr>
          <w:rFonts w:hint="eastAsia"/>
          <w:b/>
        </w:rPr>
        <w:t>多站供应</w:t>
      </w:r>
      <w:r>
        <w:rPr>
          <w:rFonts w:hint="eastAsia"/>
        </w:rPr>
        <w:t>”：指输配系统沿线设置的各场站，包括2座门站、6座高中压调压站、7座LNG气化站；</w:t>
      </w:r>
    </w:p>
    <w:p>
      <w:pPr>
        <w:pStyle w:val="11"/>
        <w:spacing w:line="480" w:lineRule="atLeast"/>
        <w:ind w:firstLine="480"/>
      </w:pPr>
      <w:r>
        <w:rPr>
          <w:rFonts w:hint="eastAsia"/>
        </w:rPr>
        <w:t>“</w:t>
      </w:r>
      <w:r>
        <w:rPr>
          <w:rFonts w:hint="eastAsia"/>
          <w:b/>
        </w:rPr>
        <w:t>横贯东西</w:t>
      </w:r>
      <w:r>
        <w:rPr>
          <w:rFonts w:hint="eastAsia"/>
        </w:rPr>
        <w:t xml:space="preserve">”：指现状及规划高压（次高压）管道贯通主城区东西； </w:t>
      </w:r>
    </w:p>
    <w:p>
      <w:pPr>
        <w:pStyle w:val="11"/>
        <w:spacing w:line="480" w:lineRule="atLeast"/>
        <w:ind w:firstLine="480"/>
      </w:pPr>
      <w:r>
        <w:rPr>
          <w:rFonts w:hint="eastAsia"/>
        </w:rPr>
        <w:t>“</w:t>
      </w:r>
      <w:r>
        <w:rPr>
          <w:rFonts w:hint="eastAsia"/>
          <w:b/>
        </w:rPr>
        <w:t>纵贯南北</w:t>
      </w:r>
      <w:r>
        <w:rPr>
          <w:rFonts w:hint="eastAsia"/>
        </w:rPr>
        <w:t xml:space="preserve">”：东西两条高压管道贯通南北区域。 </w:t>
      </w:r>
    </w:p>
    <w:p>
      <w:pPr>
        <w:pStyle w:val="11"/>
        <w:spacing w:line="480" w:lineRule="atLeast"/>
        <w:ind w:firstLine="480"/>
      </w:pPr>
      <w:r>
        <w:rPr>
          <w:rFonts w:hint="eastAsia"/>
        </w:rPr>
        <w:t>规划期内，瓯江口区域由灵霓门站供应管输气，洞头区域由自建LNG站供应管道天然气。另外，根据瓯江口二期填海情况以及区域发展，规划预留霓屿门站接丽水36-1气田气源，并建设次高压管道与灵霓门站连通，从而瓯江口、洞头城区最终形成“</w:t>
      </w:r>
      <w:r>
        <w:rPr>
          <w:rFonts w:hint="eastAsia"/>
          <w:b/>
        </w:rPr>
        <w:t>两源、四站、一线、双应急</w:t>
      </w:r>
      <w:r>
        <w:rPr>
          <w:rFonts w:hint="eastAsia"/>
        </w:rPr>
        <w:t>”的高压输配系统。</w:t>
      </w:r>
    </w:p>
    <w:p>
      <w:pPr>
        <w:pStyle w:val="11"/>
        <w:spacing w:line="480" w:lineRule="atLeast"/>
        <w:ind w:firstLine="480"/>
      </w:pPr>
      <w:r>
        <w:rPr>
          <w:rFonts w:hint="eastAsia"/>
        </w:rPr>
        <w:t>“</w:t>
      </w:r>
      <w:r>
        <w:rPr>
          <w:rFonts w:hint="eastAsia"/>
          <w:b/>
        </w:rPr>
        <w:t>两源</w:t>
      </w:r>
      <w:r>
        <w:rPr>
          <w:rFonts w:hint="eastAsia"/>
        </w:rPr>
        <w:t xml:space="preserve">”：指灵霓门站接灵霓阀室甬台温气源，霓屿门站接入丽水36-1气田气源； </w:t>
      </w:r>
    </w:p>
    <w:p>
      <w:pPr>
        <w:pStyle w:val="11"/>
        <w:spacing w:line="480" w:lineRule="atLeast"/>
        <w:ind w:firstLine="480"/>
      </w:pPr>
      <w:r>
        <w:rPr>
          <w:rFonts w:hint="eastAsia"/>
        </w:rPr>
        <w:t>“</w:t>
      </w:r>
      <w:r>
        <w:rPr>
          <w:rFonts w:hint="eastAsia"/>
          <w:b/>
        </w:rPr>
        <w:t>四站</w:t>
      </w:r>
      <w:r>
        <w:rPr>
          <w:rFonts w:hint="eastAsia"/>
        </w:rPr>
        <w:t xml:space="preserve">”：包括2座门站、2座高中压调压站； </w:t>
      </w:r>
    </w:p>
    <w:p>
      <w:pPr>
        <w:pStyle w:val="11"/>
        <w:spacing w:line="480" w:lineRule="atLeast"/>
        <w:ind w:firstLine="480"/>
      </w:pPr>
      <w:r>
        <w:rPr>
          <w:rFonts w:hint="eastAsia"/>
        </w:rPr>
        <w:t>“</w:t>
      </w:r>
      <w:r>
        <w:rPr>
          <w:rFonts w:hint="eastAsia"/>
          <w:b/>
        </w:rPr>
        <w:t>一线</w:t>
      </w:r>
      <w:r>
        <w:rPr>
          <w:rFonts w:hint="eastAsia"/>
        </w:rPr>
        <w:t xml:space="preserve">”：指联通瓯江口与洞头本岛的次高压管线； </w:t>
      </w:r>
    </w:p>
    <w:p>
      <w:pPr>
        <w:pStyle w:val="11"/>
        <w:spacing w:line="480" w:lineRule="atLeast"/>
        <w:ind w:firstLine="480"/>
      </w:pPr>
      <w:r>
        <w:rPr>
          <w:rFonts w:hint="eastAsia"/>
        </w:rPr>
        <w:t>“</w:t>
      </w:r>
      <w:r>
        <w:rPr>
          <w:rFonts w:hint="eastAsia"/>
          <w:b/>
        </w:rPr>
        <w:t>双应急</w:t>
      </w:r>
      <w:r>
        <w:rPr>
          <w:rFonts w:hint="eastAsia"/>
        </w:rPr>
        <w:t>”：指瓯江口、洞头本岛各建设的1座LNG气化站。</w:t>
      </w:r>
    </w:p>
    <w:p>
      <w:pPr>
        <w:pStyle w:val="11"/>
        <w:spacing w:line="480" w:lineRule="atLeast"/>
        <w:ind w:firstLine="480"/>
      </w:pPr>
    </w:p>
    <w:p>
      <w:pPr>
        <w:pStyle w:val="3"/>
        <w:numPr>
          <w:ilvl w:val="1"/>
          <w:numId w:val="1"/>
        </w:numPr>
        <w:spacing w:before="160" w:after="80" w:line="440" w:lineRule="exact"/>
        <w:jc w:val="both"/>
        <w:rPr>
          <w:rFonts w:ascii="Times New Roman"/>
        </w:rPr>
      </w:pPr>
      <w:r>
        <w:rPr>
          <w:rFonts w:hint="eastAsia"/>
        </w:rPr>
        <w:t>规划区域天然气一体化方案</w:t>
      </w:r>
    </w:p>
    <w:p>
      <w:pPr>
        <w:pStyle w:val="11"/>
        <w:spacing w:line="480" w:lineRule="atLeast"/>
        <w:ind w:firstLine="480"/>
        <w:rPr>
          <w:highlight w:val="none"/>
        </w:rPr>
      </w:pPr>
      <w:r>
        <w:rPr>
          <w:rFonts w:hint="eastAsia"/>
          <w:highlight w:val="none"/>
        </w:rPr>
        <w:t>1）市辖区与瑞安片区互联互通</w:t>
      </w:r>
    </w:p>
    <w:p>
      <w:pPr>
        <w:pStyle w:val="11"/>
        <w:spacing w:line="480" w:lineRule="atLeast"/>
        <w:ind w:firstLine="480"/>
        <w:rPr>
          <w:rFonts w:hint="eastAsia"/>
          <w:highlight w:val="none"/>
        </w:rPr>
      </w:pPr>
      <w:r>
        <w:rPr>
          <w:rFonts w:hint="eastAsia"/>
          <w:highlight w:val="none"/>
        </w:rPr>
        <w:t>通过建设瑞安片区塘下阀室至市辖区滨海调压站次高压联络线工程，构建温瑞一体化高压输配系统；通过中压主干管联通，打造中压互保互济主干管网。从而实现温瑞天然气一体化发展。</w:t>
      </w:r>
    </w:p>
    <w:p>
      <w:pPr>
        <w:pStyle w:val="11"/>
        <w:spacing w:line="480" w:lineRule="atLeast"/>
        <w:ind w:firstLine="480"/>
      </w:pPr>
      <w:r>
        <w:rPr>
          <w:rFonts w:hint="eastAsia"/>
        </w:rPr>
        <w:t>2）市辖区与乐清片区互联互通</w:t>
      </w:r>
    </w:p>
    <w:p>
      <w:pPr>
        <w:pStyle w:val="11"/>
        <w:spacing w:line="480" w:lineRule="atLeast"/>
        <w:ind w:firstLine="480"/>
      </w:pPr>
      <w:r>
        <w:rPr>
          <w:rFonts w:hint="eastAsia"/>
        </w:rPr>
        <w:t>通过建设跨越瓯江中压干管，打通区域东部江南江北陆路资源通道。</w:t>
      </w:r>
    </w:p>
    <w:p>
      <w:pPr>
        <w:pStyle w:val="11"/>
        <w:spacing w:line="480" w:lineRule="atLeast"/>
        <w:ind w:firstLine="480"/>
      </w:pPr>
      <w:r>
        <w:rPr>
          <w:rFonts w:hint="eastAsia"/>
        </w:rPr>
        <w:t>3）市辖区与永嘉片区互联互通</w:t>
      </w:r>
    </w:p>
    <w:p>
      <w:pPr>
        <w:pStyle w:val="11"/>
        <w:spacing w:line="480" w:lineRule="atLeast"/>
        <w:ind w:firstLine="480"/>
      </w:pPr>
      <w:r>
        <w:rPr>
          <w:rFonts w:hint="eastAsia"/>
        </w:rPr>
        <w:t>通过建设跨越瓯江中压干管，实现市辖区与永嘉天然气互通互联。</w:t>
      </w:r>
    </w:p>
    <w:p>
      <w:pPr>
        <w:pStyle w:val="11"/>
        <w:spacing w:line="480" w:lineRule="atLeast"/>
        <w:ind w:firstLine="480"/>
      </w:pPr>
      <w:r>
        <w:rPr>
          <w:rFonts w:hint="eastAsia"/>
        </w:rPr>
        <w:t>4）乐清片区与永嘉片区互联互通</w:t>
      </w:r>
    </w:p>
    <w:p>
      <w:pPr>
        <w:pStyle w:val="11"/>
        <w:spacing w:line="480" w:lineRule="atLeast"/>
        <w:ind w:firstLine="480"/>
      </w:pPr>
      <w:r>
        <w:rPr>
          <w:rFonts w:hint="eastAsia"/>
        </w:rPr>
        <w:t>通过现状中压主干管道联通，实现江北两区域天然气互联互通。</w:t>
      </w:r>
    </w:p>
    <w:p>
      <w:pPr>
        <w:pStyle w:val="11"/>
        <w:spacing w:line="480" w:lineRule="atLeast"/>
        <w:ind w:firstLine="480"/>
        <w:sectPr>
          <w:pgSz w:w="11907" w:h="16839"/>
          <w:pgMar w:top="1440" w:right="1800" w:bottom="1440" w:left="1800" w:header="851" w:footer="992" w:gutter="0"/>
          <w:cols w:space="720" w:num="1"/>
          <w:docGrid w:type="lines" w:linePitch="312" w:charSpace="0"/>
        </w:sectPr>
      </w:pPr>
    </w:p>
    <w:p>
      <w:pPr>
        <w:pStyle w:val="2"/>
        <w:numPr>
          <w:ilvl w:val="0"/>
          <w:numId w:val="1"/>
        </w:numPr>
        <w:spacing w:before="240" w:after="160" w:line="440" w:lineRule="exact"/>
        <w:jc w:val="center"/>
        <w:rPr>
          <w:sz w:val="36"/>
        </w:rPr>
      </w:pPr>
      <w:r>
        <w:rPr>
          <w:rFonts w:hint="eastAsia"/>
          <w:sz w:val="36"/>
        </w:rPr>
        <w:t>加气站规划</w:t>
      </w:r>
    </w:p>
    <w:p>
      <w:pPr>
        <w:pStyle w:val="3"/>
        <w:numPr>
          <w:ilvl w:val="1"/>
          <w:numId w:val="1"/>
        </w:numPr>
        <w:spacing w:before="160" w:after="80" w:line="440" w:lineRule="exact"/>
        <w:jc w:val="both"/>
        <w:rPr>
          <w:rFonts w:ascii="Times New Roman"/>
        </w:rPr>
      </w:pPr>
      <w:r>
        <w:rPr>
          <w:rFonts w:hint="eastAsia"/>
        </w:rPr>
        <w:t>汽车加气站布点</w:t>
      </w:r>
    </w:p>
    <w:p>
      <w:pPr>
        <w:pStyle w:val="11"/>
        <w:spacing w:line="480" w:lineRule="atLeast"/>
        <w:ind w:firstLine="480"/>
      </w:pPr>
      <w:r>
        <w:rPr>
          <w:rFonts w:hint="eastAsia"/>
        </w:rPr>
        <w:t>1）市辖区</w:t>
      </w:r>
    </w:p>
    <w:p>
      <w:pPr>
        <w:pStyle w:val="11"/>
        <w:spacing w:line="480" w:lineRule="atLeast"/>
        <w:ind w:firstLine="480"/>
      </w:pPr>
      <w:r>
        <w:rPr>
          <w:rFonts w:hint="eastAsia"/>
        </w:rPr>
        <w:t>市辖区洞头状元岙岛已建成1座综合供能站（含LNG加气功能），尚未投运。另外，洞头小门岛拟建综合供能站1座（含加气功能）。规划期内，市辖区应结合未来市场需求、用户分布情况和政策形势综合考虑汽车加气站的建设。未来新增的加气站尽量结合综合供能服务站建设，或视重卡集卡车、工程车等车辆的改气政策及发展适当考虑在此类车辆集中通道沿线建设LNG加气站。</w:t>
      </w:r>
    </w:p>
    <w:p>
      <w:pPr>
        <w:pStyle w:val="11"/>
        <w:spacing w:line="480" w:lineRule="atLeast"/>
        <w:ind w:firstLine="480"/>
      </w:pPr>
      <w:r>
        <w:rPr>
          <w:rFonts w:hint="eastAsia"/>
        </w:rPr>
        <w:t>2）瑞安片区</w:t>
      </w:r>
    </w:p>
    <w:p>
      <w:pPr>
        <w:pStyle w:val="11"/>
        <w:spacing w:line="480" w:lineRule="atLeast"/>
        <w:ind w:firstLine="480"/>
      </w:pPr>
      <w:r>
        <w:rPr>
          <w:rFonts w:hint="eastAsia"/>
        </w:rPr>
        <w:t>瑞安市现状已建LNG/L-CNG加气站1座。规划近期于江南片区新建LNG/L-CNG加气站1座，为飞云加气站。规划期内结合未来发展形势和政策环境，若仍有市场需求，可根据《浙江省综合供能服务站与配套储运设施建设规划》实施情况，在新建的综合供能服务站中保留一定加气功能，根据国家政策和市场需要适时启动建设。</w:t>
      </w:r>
    </w:p>
    <w:p>
      <w:pPr>
        <w:pStyle w:val="11"/>
        <w:spacing w:line="480" w:lineRule="atLeast"/>
        <w:ind w:firstLine="480"/>
      </w:pPr>
      <w:r>
        <w:rPr>
          <w:rFonts w:hint="eastAsia"/>
        </w:rPr>
        <w:t>3）乐清片区</w:t>
      </w:r>
    </w:p>
    <w:p>
      <w:pPr>
        <w:pStyle w:val="11"/>
        <w:spacing w:line="480" w:lineRule="atLeast"/>
        <w:ind w:firstLine="480"/>
      </w:pPr>
      <w:r>
        <w:rPr>
          <w:rFonts w:hint="eastAsia"/>
        </w:rPr>
        <w:t>乐清片区现状建有加油加气合建站1座，尚未取得燃气经营许可证。规划期内在北白象综合站内设综合供能站（含加气功能），乐清片区还应结合未来市场需求、用户分布情况和政策形势综合考虑汽车加气站的建设。未来新增的加气站尽量结合综合供能服务站建设，或视重卡集卡车、工程车等车辆的改气政策及发展适当考虑在此类车辆集中通道沿线建设LNG加气站。</w:t>
      </w:r>
    </w:p>
    <w:p>
      <w:pPr>
        <w:pStyle w:val="11"/>
        <w:spacing w:line="480" w:lineRule="atLeast"/>
        <w:ind w:firstLine="480"/>
      </w:pPr>
      <w:r>
        <w:rPr>
          <w:rFonts w:hint="eastAsia"/>
        </w:rPr>
        <w:t>4）永嘉片区</w:t>
      </w:r>
    </w:p>
    <w:p>
      <w:pPr>
        <w:pStyle w:val="11"/>
        <w:spacing w:line="480" w:lineRule="atLeast"/>
        <w:ind w:firstLine="480"/>
      </w:pPr>
      <w:r>
        <w:rPr>
          <w:rFonts w:hint="eastAsia"/>
        </w:rPr>
        <w:t>永嘉片区现状未建设天然气汽车加气站。规划期内，应结合未来市场需求、用户分布情况和政策形势确定具体新建数量。本规划对永嘉片区LNG加气站不做具体布点，规划期内可根据《浙江省综合供能服务站与配套储运设施建设规划》实施情况，在新建的综合供能服务站中保留一定加气功能，根据国家政策和市场需要适时启动建设。</w:t>
      </w:r>
    </w:p>
    <w:p>
      <w:pPr>
        <w:pStyle w:val="3"/>
        <w:numPr>
          <w:ilvl w:val="1"/>
          <w:numId w:val="1"/>
        </w:numPr>
        <w:spacing w:before="160" w:after="80" w:line="440" w:lineRule="exact"/>
        <w:jc w:val="both"/>
        <w:rPr>
          <w:rFonts w:ascii="Times New Roman"/>
        </w:rPr>
      </w:pPr>
      <w:r>
        <w:rPr>
          <w:rFonts w:hint="eastAsia"/>
        </w:rPr>
        <w:t>船用加气站布点</w:t>
      </w:r>
    </w:p>
    <w:p>
      <w:pPr>
        <w:pStyle w:val="11"/>
        <w:spacing w:line="480" w:lineRule="atLeast"/>
        <w:ind w:firstLine="480"/>
      </w:pPr>
      <w:r>
        <w:rPr>
          <w:rFonts w:hint="eastAsia"/>
        </w:rPr>
        <w:t>本规划对LNG水上加气站不做具体布点，建设实施应以《浙江省内河骨干航道LNG加注码头布局方案研究》为准。根据未来市场发展需求，结合上述综合供能站或加气码头建设条件，依据未来国家标准规范进行布局建设。</w:t>
      </w:r>
    </w:p>
    <w:p>
      <w:pPr>
        <w:pStyle w:val="11"/>
        <w:spacing w:line="480" w:lineRule="atLeast"/>
        <w:ind w:firstLine="480"/>
      </w:pPr>
    </w:p>
    <w:p>
      <w:pPr>
        <w:pStyle w:val="11"/>
        <w:spacing w:line="480" w:lineRule="atLeast"/>
        <w:ind w:firstLine="480"/>
        <w:sectPr>
          <w:pgSz w:w="11907" w:h="16839"/>
          <w:pgMar w:top="1440" w:right="1800" w:bottom="1440" w:left="1800" w:header="851" w:footer="992" w:gutter="0"/>
          <w:cols w:space="720" w:num="1"/>
          <w:docGrid w:type="lines" w:linePitch="312" w:charSpace="0"/>
        </w:sectPr>
      </w:pPr>
    </w:p>
    <w:p>
      <w:pPr>
        <w:pStyle w:val="2"/>
        <w:numPr>
          <w:ilvl w:val="0"/>
          <w:numId w:val="1"/>
        </w:numPr>
        <w:spacing w:before="240" w:after="160" w:line="440" w:lineRule="exact"/>
        <w:jc w:val="center"/>
        <w:rPr>
          <w:sz w:val="36"/>
        </w:rPr>
      </w:pPr>
      <w:r>
        <w:rPr>
          <w:rFonts w:hint="eastAsia"/>
          <w:sz w:val="36"/>
        </w:rPr>
        <w:t>液化石油气供应系统规划</w:t>
      </w:r>
    </w:p>
    <w:p>
      <w:pPr>
        <w:pStyle w:val="3"/>
        <w:numPr>
          <w:ilvl w:val="1"/>
          <w:numId w:val="1"/>
        </w:numPr>
        <w:spacing w:before="160" w:after="80" w:line="440" w:lineRule="exact"/>
        <w:jc w:val="both"/>
        <w:rPr>
          <w:rFonts w:ascii="Times New Roman"/>
        </w:rPr>
      </w:pPr>
      <w:r>
        <w:rPr>
          <w:rFonts w:hint="eastAsia"/>
        </w:rPr>
        <w:t>储配站规划布局</w:t>
      </w:r>
    </w:p>
    <w:p>
      <w:pPr>
        <w:pStyle w:val="11"/>
        <w:spacing w:line="480" w:lineRule="atLeast"/>
        <w:ind w:firstLine="480"/>
      </w:pPr>
      <w:bookmarkStart w:id="3" w:name="_GoBack"/>
      <w:r>
        <w:rPr>
          <w:rFonts w:hint="eastAsia"/>
          <w:highlight w:val="none"/>
        </w:rPr>
        <w:t>结合温州市加快构建市域供气一张网要求</w:t>
      </w:r>
      <w:bookmarkEnd w:id="3"/>
      <w:r>
        <w:rPr>
          <w:rFonts w:hint="eastAsia"/>
        </w:rPr>
        <w:t>，推进液化石油气市场一体化，促进储配站点“集约化、规模化、安全化、现代化”发展。在保障社会维稳、民生用气需求的前提下，规划新建一批规模较大的、建设规范的、智慧运营的液化石油气储配站点，搭建数字化监管平台，实现瓶装液化石油气全流程数字化管控，为城市发展腾出空间，为人民安全保驾护航，构建能源保障新格局。</w:t>
      </w:r>
    </w:p>
    <w:p>
      <w:pPr>
        <w:pStyle w:val="3"/>
        <w:numPr>
          <w:ilvl w:val="1"/>
          <w:numId w:val="1"/>
        </w:numPr>
        <w:spacing w:before="160" w:after="80" w:line="440" w:lineRule="exact"/>
        <w:jc w:val="both"/>
        <w:rPr>
          <w:rFonts w:ascii="Times New Roman"/>
        </w:rPr>
      </w:pPr>
      <w:r>
        <w:rPr>
          <w:rFonts w:hint="eastAsia"/>
        </w:rPr>
        <w:t>瓶装供应站规划布局</w:t>
      </w:r>
    </w:p>
    <w:p>
      <w:pPr>
        <w:pStyle w:val="11"/>
        <w:spacing w:line="480" w:lineRule="atLeast"/>
        <w:ind w:firstLine="480"/>
      </w:pPr>
      <w:r>
        <w:rPr>
          <w:rFonts w:hint="eastAsia"/>
        </w:rPr>
        <w:t>1）布点应结合现状液化石油气瓶装供应站点的分布，从供应范围、供应规模和分布的均衡性、合理性等因素出发综合考虑。</w:t>
      </w:r>
    </w:p>
    <w:p>
      <w:pPr>
        <w:pStyle w:val="11"/>
        <w:spacing w:line="480" w:lineRule="atLeast"/>
        <w:ind w:firstLine="480"/>
      </w:pPr>
      <w:r>
        <w:rPr>
          <w:rFonts w:hint="eastAsia"/>
        </w:rPr>
        <w:t>2）原则上控制在Ⅰ类站控制在6-8公里，Ⅱ类站控制在3-5公里，Ⅲ类站控制在1.5-2公里。瓶装燃气供应站设置应以Ⅰ类站、Ⅱ类站为主。</w:t>
      </w:r>
    </w:p>
    <w:p>
      <w:pPr>
        <w:pStyle w:val="11"/>
        <w:spacing w:line="480" w:lineRule="atLeast"/>
        <w:ind w:firstLine="480"/>
      </w:pPr>
      <w:r>
        <w:rPr>
          <w:rFonts w:hint="eastAsia"/>
        </w:rPr>
        <w:t xml:space="preserve">3）已取得经营许可的现状供应站点应严格按照国家和温州市相关标准、规范，并结合安全评估情况进行整改提升（整改后仍不合格的应坚决取缔）。争取相关政府部门对供应站点用地的支持，将供应站点选址纳入城市规划，落实建设用地，严格按基建程序进行审批建设，建成一批符合规划和燃气规范要求的供应站点。 </w:t>
      </w:r>
    </w:p>
    <w:p>
      <w:pPr>
        <w:pStyle w:val="11"/>
        <w:spacing w:line="480" w:lineRule="atLeast"/>
        <w:ind w:firstLine="480"/>
      </w:pPr>
      <w:r>
        <w:rPr>
          <w:rFonts w:hint="eastAsia"/>
        </w:rPr>
        <w:t>4）供应站应结合当地的地理环境特征考虑，尽可能在覆盖区域的中心地带，以便减少运输距离，缩短运输时间。</w:t>
      </w:r>
    </w:p>
    <w:p>
      <w:pPr>
        <w:pStyle w:val="11"/>
        <w:spacing w:line="480" w:lineRule="atLeast"/>
        <w:ind w:firstLine="480"/>
      </w:pPr>
      <w:r>
        <w:rPr>
          <w:rFonts w:hint="eastAsia"/>
        </w:rPr>
        <w:t>5）如规范化建设供应站点无法满足规划布点数量要求，储配站在保障安全的前提下可根据用户需求设置便民服务点，及时向居民供应瓶装液化气，但便民服务点的设置须得到相关管理部门的批准。</w:t>
      </w:r>
    </w:p>
    <w:sectPr>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Dotum">
    <w:altName w:val="Malgun Gothic"/>
    <w:panose1 w:val="020B0600000101010101"/>
    <w:charset w:val="81"/>
    <w:family w:val="modern"/>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6</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decimal"/>
      <w:lvlText w:val="第%1章"/>
      <w:lvlJc w:val="left"/>
      <w:pPr>
        <w:tabs>
          <w:tab w:val="left" w:pos="425"/>
        </w:tabs>
        <w:ind w:left="425" w:hanging="425"/>
      </w:pPr>
      <w:rPr>
        <w:rFonts w:hint="eastAsia"/>
        <w:sz w:val="36"/>
        <w:szCs w:val="36"/>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A1"/>
    <w:rsid w:val="00062D20"/>
    <w:rsid w:val="00084456"/>
    <w:rsid w:val="0011299D"/>
    <w:rsid w:val="005260F1"/>
    <w:rsid w:val="00820AB3"/>
    <w:rsid w:val="0099564D"/>
    <w:rsid w:val="00A77AA1"/>
    <w:rsid w:val="00B01E1A"/>
    <w:rsid w:val="1E7ED45D"/>
    <w:rsid w:val="3EAB0813"/>
    <w:rsid w:val="3FEE6491"/>
    <w:rsid w:val="5DEC4171"/>
    <w:rsid w:val="65507320"/>
    <w:rsid w:val="6734288D"/>
    <w:rsid w:val="6E6954B3"/>
    <w:rsid w:val="6F101C89"/>
    <w:rsid w:val="789A7060"/>
    <w:rsid w:val="D63BD90A"/>
    <w:rsid w:val="E7BF7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jc w:val="center"/>
      <w:outlineLvl w:val="1"/>
    </w:pPr>
    <w:rPr>
      <w:rFonts w:ascii="Cambria" w:hAnsi="Cambria"/>
      <w:b/>
      <w:bCs/>
      <w:sz w:val="30"/>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qFormat/>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character" w:styleId="10">
    <w:name w:val="Hyperlink"/>
    <w:basedOn w:val="8"/>
    <w:qFormat/>
    <w:uiPriority w:val="99"/>
    <w:rPr>
      <w:color w:val="0000FF"/>
      <w:u w:val="single"/>
    </w:rPr>
  </w:style>
  <w:style w:type="paragraph" w:customStyle="1" w:styleId="11">
    <w:name w:val="文章正文"/>
    <w:basedOn w:val="1"/>
    <w:qFormat/>
    <w:uiPriority w:val="0"/>
    <w:pPr>
      <w:spacing w:line="400" w:lineRule="exact"/>
      <w:ind w:firstLine="200" w:firstLineChars="200"/>
    </w:pPr>
    <w:rPr>
      <w:sz w:val="24"/>
    </w:rPr>
  </w:style>
  <w:style w:type="character" w:customStyle="1" w:styleId="12">
    <w:name w:val="页眉 Char"/>
    <w:basedOn w:val="8"/>
    <w:link w:val="6"/>
    <w:qFormat/>
    <w:uiPriority w:val="0"/>
    <w:rPr>
      <w:kern w:val="2"/>
      <w:sz w:val="18"/>
      <w:szCs w:val="18"/>
    </w:rPr>
  </w:style>
  <w:style w:type="character" w:customStyle="1" w:styleId="13">
    <w:name w:val="批注框文本 Char"/>
    <w:basedOn w:val="8"/>
    <w:link w:val="4"/>
    <w:qFormat/>
    <w:uiPriority w:val="0"/>
    <w:rPr>
      <w:kern w:val="2"/>
      <w:sz w:val="18"/>
      <w:szCs w:val="18"/>
    </w:rPr>
  </w:style>
  <w:style w:type="character" w:customStyle="1" w:styleId="14">
    <w:name w:val="正文 仿宋小四 1.5倍行距 Char"/>
    <w:basedOn w:val="8"/>
    <w:link w:val="15"/>
    <w:qFormat/>
    <w:uiPriority w:val="0"/>
    <w:rPr>
      <w:rFonts w:ascii="Dotum" w:hAnsi="Dotum" w:eastAsia="仿宋_GB2312"/>
      <w:sz w:val="24"/>
      <w:szCs w:val="24"/>
    </w:rPr>
  </w:style>
  <w:style w:type="paragraph" w:customStyle="1" w:styleId="15">
    <w:name w:val="正文 仿宋小四 1.5倍行距"/>
    <w:basedOn w:val="1"/>
    <w:link w:val="14"/>
    <w:qFormat/>
    <w:uiPriority w:val="0"/>
    <w:pPr>
      <w:snapToGrid w:val="0"/>
      <w:spacing w:line="360" w:lineRule="auto"/>
      <w:ind w:firstLine="525"/>
    </w:pPr>
    <w:rPr>
      <w:rFonts w:ascii="Dotum" w:hAnsi="Dotum" w:eastAsia="仿宋_GB2312"/>
      <w:kern w:val="0"/>
      <w:sz w:val="24"/>
    </w:rPr>
  </w:style>
  <w:style w:type="paragraph" w:customStyle="1" w:styleId="16">
    <w:name w:val="zw"/>
    <w:qFormat/>
    <w:uiPriority w:val="0"/>
    <w:pPr>
      <w:spacing w:line="400" w:lineRule="exact"/>
      <w:jc w:val="both"/>
    </w:pPr>
    <w:rPr>
      <w:rFonts w:ascii="Dotum" w:hAnsi="Dotum" w:eastAsia="仿宋_GB2312" w:cs="Times New Roman"/>
      <w:sz w:val="24"/>
      <w:lang w:val="en-US" w:eastAsia="zh-CN" w:bidi="ar-SA"/>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682</Words>
  <Characters>3889</Characters>
  <Lines>32</Lines>
  <Paragraphs>9</Paragraphs>
  <TotalTime>59</TotalTime>
  <ScaleCrop>false</ScaleCrop>
  <LinksUpToDate>false</LinksUpToDate>
  <CharactersWithSpaces>4562</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greatwall</cp:lastModifiedBy>
  <dcterms:modified xsi:type="dcterms:W3CDTF">2022-10-17T08:16:43Z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5BADEBD0FC3B4732A8CCB0D677AC9C1F</vt:lpwstr>
  </property>
</Properties>
</file>